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453102" w14:paraId="131B86C3" w14:textId="77777777" w:rsidTr="00F45AE2">
        <w:trPr>
          <w:trHeight w:val="652"/>
          <w:jc w:val="center"/>
        </w:trPr>
        <w:tc>
          <w:tcPr>
            <w:tcW w:w="3335" w:type="dxa"/>
            <w:tcBorders>
              <w:right w:val="single" w:sz="4" w:space="0" w:color="44546A" w:themeColor="text2"/>
            </w:tcBorders>
            <w:shd w:val="clear" w:color="auto" w:fill="1F3864" w:themeFill="accent1" w:themeFillShade="80"/>
          </w:tcPr>
          <w:p w14:paraId="19E58420" w14:textId="77777777" w:rsidR="00E9177F" w:rsidRDefault="00E9177F" w:rsidP="00E9177F">
            <w:pPr>
              <w:jc w:val="center"/>
              <w:rPr>
                <w:rFonts w:cs="Arial"/>
                <w:color w:val="FFFFFF" w:themeColor="background1"/>
                <w:sz w:val="32"/>
                <w:szCs w:val="32"/>
                <w:shd w:val="clear" w:color="auto" w:fill="1F3864" w:themeFill="accent1" w:themeFillShade="80"/>
                <w:lang w:val="en-US"/>
              </w:rPr>
            </w:pPr>
          </w:p>
          <w:p w14:paraId="2FB8F817" w14:textId="319711F7" w:rsidR="00E9177F" w:rsidRPr="00906B87" w:rsidRDefault="00E9177F" w:rsidP="00E9177F">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977D1D">
              <w:rPr>
                <w:rFonts w:cs="Arial"/>
                <w:color w:val="FFFFFF" w:themeColor="background1"/>
                <w:sz w:val="32"/>
                <w:szCs w:val="32"/>
                <w:shd w:val="clear" w:color="auto" w:fill="1F3864" w:themeFill="accent1" w:themeFillShade="80"/>
                <w:lang w:val="en-US"/>
              </w:rPr>
              <w:t>contribution</w:t>
            </w:r>
          </w:p>
          <w:p w14:paraId="53B8847D" w14:textId="2441C9E7"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2FEA8494" w14:textId="77777777" w:rsidR="00E9177F" w:rsidRDefault="00E9177F" w:rsidP="00906B87">
            <w:pPr>
              <w:jc w:val="center"/>
              <w:rPr>
                <w:rFonts w:cs="Arial"/>
                <w:color w:val="FFFFFF" w:themeColor="background1"/>
                <w:sz w:val="32"/>
                <w:szCs w:val="32"/>
                <w:shd w:val="clear" w:color="auto" w:fill="1F3864" w:themeFill="accent1" w:themeFillShade="80"/>
                <w:lang w:val="en-US"/>
              </w:rPr>
            </w:pPr>
          </w:p>
          <w:p w14:paraId="720499DE" w14:textId="3CE9587E" w:rsidR="00742FA8" w:rsidRPr="00906B87" w:rsidRDefault="00E9177F" w:rsidP="00906B87">
            <w:pPr>
              <w:jc w:val="center"/>
              <w:rPr>
                <w:rFonts w:cs="Arial"/>
                <w:color w:val="FFFFFF" w:themeColor="background1"/>
                <w:sz w:val="32"/>
                <w:szCs w:val="3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8D53C2">
              <w:rPr>
                <w:rFonts w:cs="Arial"/>
                <w:color w:val="FFFFFF" w:themeColor="background1"/>
                <w:sz w:val="32"/>
                <w:szCs w:val="32"/>
                <w:shd w:val="clear" w:color="auto" w:fill="1F3864" w:themeFill="accent1" w:themeFillShade="80"/>
                <w:lang w:val="en-US"/>
              </w:rPr>
              <w:t>4</w:t>
            </w:r>
          </w:p>
          <w:p w14:paraId="6B26AC0C"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FF2EE7" w14:paraId="425D15D4" w14:textId="77777777" w:rsidTr="00F45AE2">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E9177F" w:rsidRDefault="005728A3" w:rsidP="005728A3">
            <w:pPr>
              <w:jc w:val="right"/>
              <w:rPr>
                <w:rFonts w:cstheme="minorHAnsi"/>
                <w:b/>
                <w:bCs/>
                <w:color w:val="002060"/>
                <w:sz w:val="28"/>
                <w:szCs w:val="28"/>
                <w:lang w:val="en-US"/>
              </w:rPr>
            </w:pPr>
            <w:r w:rsidRPr="00E9177F">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F45AE2">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7105C65A" w:rsidR="006D3771" w:rsidRPr="006D3771" w:rsidRDefault="00351BFE" w:rsidP="006D3771">
            <w:pPr>
              <w:jc w:val="center"/>
              <w:rPr>
                <w:sz w:val="32"/>
                <w:szCs w:val="32"/>
                <w:lang w:val="en-US"/>
              </w:rPr>
            </w:pPr>
            <w:r>
              <w:rPr>
                <w:sz w:val="32"/>
                <w:szCs w:val="32"/>
                <w:lang w:val="en-US"/>
              </w:rPr>
              <w:t>Hungary</w:t>
            </w:r>
          </w:p>
          <w:p w14:paraId="1EE0812F" w14:textId="73DF6167" w:rsidR="006D3771" w:rsidRDefault="006D3771">
            <w:pPr>
              <w:rPr>
                <w:lang w:val="en-US"/>
              </w:rPr>
            </w:pPr>
          </w:p>
        </w:tc>
      </w:tr>
    </w:tbl>
    <w:p w14:paraId="5D9260C2" w14:textId="55E31E4D" w:rsidR="004A628B" w:rsidRDefault="004A628B" w:rsidP="00972C74">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406EDA1E" w14:textId="77777777" w:rsidR="004D6EFB" w:rsidRPr="00977D1D" w:rsidRDefault="004D6EFB" w:rsidP="004D6EFB">
      <w:pPr>
        <w:rPr>
          <w:rFonts w:cstheme="minorHAnsi"/>
          <w:lang w:val="en-US"/>
        </w:rPr>
      </w:pPr>
    </w:p>
    <w:p w14:paraId="4729FAA1" w14:textId="77777777" w:rsidR="001A7675" w:rsidRPr="001A7675" w:rsidRDefault="001A7675" w:rsidP="001A7675">
      <w:pPr>
        <w:pStyle w:val="Default"/>
        <w:jc w:val="both"/>
        <w:rPr>
          <w:rFonts w:asciiTheme="minorHAnsi" w:hAnsiTheme="minorHAnsi" w:cstheme="minorHAnsi"/>
          <w:color w:val="auto"/>
          <w:sz w:val="20"/>
          <w:szCs w:val="20"/>
          <w:lang w:val="en-US"/>
        </w:rPr>
      </w:pPr>
      <w:r w:rsidRPr="001A7675">
        <w:rPr>
          <w:rFonts w:asciiTheme="minorHAnsi" w:hAnsiTheme="minorHAnsi" w:cstheme="minorHAnsi"/>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3080D971" w14:textId="77777777" w:rsidR="001A7675" w:rsidRPr="001A7675" w:rsidRDefault="001A7675" w:rsidP="001A7675">
      <w:pPr>
        <w:shd w:val="clear" w:color="auto" w:fill="FFFFFF"/>
        <w:spacing w:before="100" w:beforeAutospacing="1" w:after="100" w:afterAutospacing="1"/>
        <w:rPr>
          <w:rFonts w:cstheme="minorHAnsi"/>
          <w:color w:val="161616"/>
          <w:lang w:val="en-US"/>
        </w:rPr>
      </w:pPr>
      <w:r w:rsidRPr="001A7675">
        <w:rPr>
          <w:rFonts w:cstheme="minorHAnsi"/>
          <w:lang w:val="en-US"/>
        </w:rPr>
        <w:t xml:space="preserve">The 2023 data have not been collected and quality checked in 2023. Nevertheless, CEPEJ published in 2023 country profiles for each EU country, based on 2021 data, and prepared in the framework of CEPEJ Study for the 2023 EU Justice Scoreboard </w:t>
      </w:r>
      <w:hyperlink r:id="rId9" w:history="1">
        <w:r w:rsidRPr="001A7675">
          <w:rPr>
            <w:rStyle w:val="Hyperlink"/>
            <w:rFonts w:cstheme="minorHAnsi"/>
            <w:color w:val="007BC8"/>
            <w:lang w:val="en-US"/>
          </w:rPr>
          <w:t>CEPEJ Country fiche - Scoreboard - Hungary</w:t>
        </w:r>
      </w:hyperlink>
    </w:p>
    <w:p w14:paraId="5A228D8E" w14:textId="77777777" w:rsidR="001A7675" w:rsidRPr="001A7675" w:rsidRDefault="001A7675" w:rsidP="001A7675">
      <w:pPr>
        <w:pStyle w:val="Default"/>
        <w:jc w:val="both"/>
        <w:rPr>
          <w:rFonts w:asciiTheme="minorHAnsi" w:hAnsiTheme="minorHAnsi" w:cstheme="minorHAnsi"/>
          <w:color w:val="auto"/>
          <w:sz w:val="20"/>
          <w:szCs w:val="20"/>
          <w:lang w:val="en-US"/>
        </w:rPr>
      </w:pPr>
      <w:r w:rsidRPr="001A7675">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1A7675">
          <w:rPr>
            <w:rStyle w:val="Hyperlink"/>
            <w:rFonts w:asciiTheme="minorHAnsi" w:hAnsiTheme="minorHAnsi" w:cstheme="minorHAnsi"/>
            <w:sz w:val="20"/>
            <w:szCs w:val="20"/>
            <w:lang w:val="en-US"/>
          </w:rPr>
          <w:t>christel.schurrer@coe.int</w:t>
        </w:r>
      </w:hyperlink>
      <w:r w:rsidRPr="001A7675">
        <w:rPr>
          <w:rFonts w:asciiTheme="minorHAnsi" w:hAnsiTheme="minorHAnsi" w:cstheme="minorHAnsi"/>
          <w:color w:val="auto"/>
          <w:sz w:val="20"/>
          <w:szCs w:val="20"/>
          <w:lang w:val="en-US"/>
        </w:rPr>
        <w:t xml:space="preserve">)  remains at the disposal of European Commission for any question related to these data. </w:t>
      </w:r>
    </w:p>
    <w:p w14:paraId="51141282" w14:textId="77777777" w:rsidR="00977D1D" w:rsidRPr="001A7675" w:rsidRDefault="00977D1D" w:rsidP="00981B6C">
      <w:pPr>
        <w:pStyle w:val="NoSpacing"/>
        <w:rPr>
          <w:lang w:val="en-US"/>
        </w:rPr>
      </w:pPr>
    </w:p>
    <w:p w14:paraId="5619C42F" w14:textId="3588316A" w:rsidR="00977D1D" w:rsidRPr="00F97F70" w:rsidRDefault="00977D1D" w:rsidP="00981B6C">
      <w:pPr>
        <w:rPr>
          <w:lang w:val="en-US"/>
        </w:rPr>
      </w:pPr>
    </w:p>
    <w:p w14:paraId="463D31A3" w14:textId="0754D493" w:rsidR="00EB3485" w:rsidRDefault="00977D1D" w:rsidP="00981B6C">
      <w:pPr>
        <w:rPr>
          <w:lang w:val="en-GB"/>
        </w:rPr>
      </w:pPr>
      <w:r>
        <w:rPr>
          <w:lang w:val="en-GB"/>
        </w:rPr>
        <w:t xml:space="preserve">Execution of judgments in </w:t>
      </w:r>
      <w:hyperlink r:id="rId11" w:history="1">
        <w:r w:rsidRPr="00977D1D">
          <w:rPr>
            <w:rStyle w:val="Hyperlink"/>
            <w:lang w:val="en-GB"/>
          </w:rPr>
          <w:t>Hungary</w:t>
        </w:r>
      </w:hyperlink>
      <w:r>
        <w:rPr>
          <w:lang w:val="en-GB"/>
        </w:rPr>
        <w:t xml:space="preserve"> </w:t>
      </w:r>
    </w:p>
    <w:p w14:paraId="5C6BC8D8" w14:textId="77777777" w:rsidR="001B2474" w:rsidRDefault="001B2474" w:rsidP="00981B6C">
      <w:pPr>
        <w:rPr>
          <w:lang w:val="en-GB"/>
        </w:rPr>
      </w:pPr>
    </w:p>
    <w:p w14:paraId="5E0897FB" w14:textId="77777777" w:rsidR="001B2474" w:rsidRPr="001B2474" w:rsidRDefault="001B2474" w:rsidP="001B2474">
      <w:pPr>
        <w:jc w:val="both"/>
        <w:rPr>
          <w:rFonts w:cstheme="minorHAnsi"/>
          <w:i/>
          <w:iCs/>
          <w:lang w:val="en-GB"/>
        </w:rPr>
      </w:pPr>
      <w:r w:rsidRPr="001B2474">
        <w:rPr>
          <w:rFonts w:cstheme="minorHAnsi"/>
          <w:i/>
          <w:iCs/>
          <w:lang w:val="en-GB"/>
        </w:rPr>
        <w:t>-</w:t>
      </w:r>
      <w:proofErr w:type="spellStart"/>
      <w:r w:rsidRPr="001B2474">
        <w:rPr>
          <w:rFonts w:cstheme="minorHAnsi"/>
          <w:i/>
          <w:iCs/>
          <w:lang w:val="en-GB"/>
        </w:rPr>
        <w:t>Irremovability</w:t>
      </w:r>
      <w:proofErr w:type="spellEnd"/>
      <w:r w:rsidRPr="001B2474">
        <w:rPr>
          <w:rFonts w:cstheme="minorHAnsi"/>
          <w:i/>
          <w:iCs/>
          <w:lang w:val="en-GB"/>
        </w:rPr>
        <w:t xml:space="preserve"> of judges; including transfers, dismissal and retirement regime of judges, court presidents and prosecutors </w:t>
      </w:r>
    </w:p>
    <w:p w14:paraId="0ABB4EBB" w14:textId="77777777" w:rsidR="001B2474" w:rsidRPr="001B2474" w:rsidRDefault="001B2474" w:rsidP="001B2474">
      <w:pPr>
        <w:jc w:val="both"/>
        <w:rPr>
          <w:rFonts w:cstheme="minorHAnsi"/>
          <w:lang w:val="en-GB"/>
        </w:rPr>
      </w:pPr>
      <w:r w:rsidRPr="001B2474">
        <w:rPr>
          <w:rFonts w:cstheme="minorHAnsi"/>
          <w:u w:val="single"/>
          <w:lang w:val="en-GB"/>
        </w:rPr>
        <w:t>Baka</w:t>
      </w:r>
      <w:r w:rsidRPr="001B2474">
        <w:rPr>
          <w:rFonts w:cstheme="minorHAnsi"/>
          <w:lang w:val="en-GB"/>
        </w:rPr>
        <w:t xml:space="preserve"> (20261/12) (ENHA): undue and premature termination of the applicant’s mandate as President of the former Hungarian Supreme Court through </w:t>
      </w:r>
      <w:r w:rsidRPr="001B2474">
        <w:rPr>
          <w:rFonts w:cstheme="minorHAnsi"/>
          <w:i/>
          <w:iCs/>
          <w:lang w:val="en-GB"/>
        </w:rPr>
        <w:t>ad hominem</w:t>
      </w:r>
      <w:r w:rsidRPr="001B2474">
        <w:rPr>
          <w:rFonts w:cstheme="minorHAnsi"/>
          <w:lang w:val="en-GB"/>
        </w:rPr>
        <w:t xml:space="preserve"> legislative acts of constitutional rank and therefore beyond judicial control, prompted by views and criticisms the applicant had expressed on reforms affecting the judiciary, and exerting a “chilling effect” on the freedom of expression of other judges and court presidents.</w:t>
      </w:r>
    </w:p>
    <w:p w14:paraId="4EC8078B" w14:textId="77777777" w:rsidR="001B2474" w:rsidRPr="001B2474" w:rsidRDefault="001B2474" w:rsidP="001B2474">
      <w:pPr>
        <w:jc w:val="both"/>
        <w:rPr>
          <w:rFonts w:cstheme="minorHAnsi"/>
          <w:lang w:val="en-GB"/>
        </w:rPr>
      </w:pPr>
      <w:r w:rsidRPr="001B2474">
        <w:rPr>
          <w:rFonts w:cstheme="minorHAnsi"/>
          <w:lang w:val="en-GB"/>
        </w:rPr>
        <w:t xml:space="preserve">Presentation on </w:t>
      </w:r>
      <w:proofErr w:type="spellStart"/>
      <w:r w:rsidRPr="001B2474">
        <w:rPr>
          <w:rFonts w:cstheme="minorHAnsi"/>
          <w:lang w:val="en-GB"/>
        </w:rPr>
        <w:t>Hudoc.exec</w:t>
      </w:r>
      <w:proofErr w:type="spellEnd"/>
      <w:r w:rsidRPr="001B2474">
        <w:rPr>
          <w:rFonts w:cstheme="minorHAnsi"/>
          <w:lang w:val="en-GB"/>
        </w:rPr>
        <w:t xml:space="preserve">: </w:t>
      </w:r>
      <w:hyperlink r:id="rId12" w:history="1">
        <w:r w:rsidRPr="001B2474">
          <w:rPr>
            <w:rStyle w:val="Hyperlink"/>
            <w:rFonts w:cstheme="minorHAnsi"/>
            <w:lang w:val="en-GB"/>
          </w:rPr>
          <w:t>Baka</w:t>
        </w:r>
      </w:hyperlink>
      <w:r w:rsidRPr="001B2474">
        <w:rPr>
          <w:rFonts w:cstheme="minorHAnsi"/>
          <w:lang w:val="en-GB"/>
        </w:rPr>
        <w:t xml:space="preserve">  </w:t>
      </w:r>
    </w:p>
    <w:p w14:paraId="6AD62E65" w14:textId="77777777" w:rsidR="001B2474" w:rsidRPr="001B2474" w:rsidRDefault="001B2474" w:rsidP="001B2474">
      <w:pPr>
        <w:jc w:val="both"/>
        <w:rPr>
          <w:rFonts w:cstheme="minorHAnsi"/>
          <w:lang w:val="en-GB"/>
        </w:rPr>
      </w:pPr>
      <w:r w:rsidRPr="001B2474">
        <w:rPr>
          <w:rFonts w:cstheme="minorHAnsi"/>
          <w:lang w:val="en-GB"/>
        </w:rPr>
        <w:t xml:space="preserve">Latest decisions: </w:t>
      </w:r>
      <w:hyperlink r:id="rId13" w:history="1">
        <w:r w:rsidRPr="001B2474">
          <w:rPr>
            <w:rStyle w:val="Hyperlink"/>
            <w:rFonts w:cstheme="minorHAnsi"/>
            <w:lang w:val="en-GB"/>
          </w:rPr>
          <w:t>CM/Del/Dec(2023)1459/H46-11</w:t>
        </w:r>
      </w:hyperlink>
      <w:r w:rsidRPr="001B2474">
        <w:rPr>
          <w:rFonts w:cstheme="minorHAnsi"/>
          <w:lang w:val="en-GB"/>
        </w:rPr>
        <w:t xml:space="preserve">; </w:t>
      </w:r>
      <w:hyperlink r:id="rId14" w:history="1">
        <w:r w:rsidRPr="001B2474">
          <w:rPr>
            <w:rStyle w:val="Hyperlink"/>
            <w:rFonts w:cstheme="minorHAnsi"/>
            <w:lang w:val="en-GB"/>
          </w:rPr>
          <w:t>CM/Del/Dec(2023)1483/H46-17</w:t>
        </w:r>
      </w:hyperlink>
    </w:p>
    <w:p w14:paraId="35BEBCCC" w14:textId="77777777" w:rsidR="001B2474" w:rsidRPr="001B2474" w:rsidRDefault="001B2474" w:rsidP="001B2474">
      <w:pPr>
        <w:jc w:val="both"/>
        <w:rPr>
          <w:rFonts w:cstheme="minorHAnsi"/>
          <w:color w:val="0000FF"/>
          <w:u w:val="single"/>
          <w:lang w:val="en-GB"/>
        </w:rPr>
      </w:pPr>
      <w:r w:rsidRPr="001B2474">
        <w:rPr>
          <w:rFonts w:cstheme="minorHAnsi"/>
          <w:lang w:val="en-GB"/>
        </w:rPr>
        <w:t xml:space="preserve">Latest submissions: </w:t>
      </w:r>
      <w:hyperlink r:id="rId15" w:history="1">
        <w:r w:rsidRPr="001B2474">
          <w:rPr>
            <w:rStyle w:val="Hyperlink"/>
            <w:rFonts w:cstheme="minorHAnsi"/>
            <w:lang w:val="en-GB"/>
          </w:rPr>
          <w:t>DH-DD(2023)633</w:t>
        </w:r>
      </w:hyperlink>
      <w:r w:rsidRPr="001B2474">
        <w:rPr>
          <w:rFonts w:cstheme="minorHAnsi"/>
          <w:lang w:val="en-GB"/>
        </w:rPr>
        <w:t xml:space="preserve">; </w:t>
      </w:r>
      <w:hyperlink r:id="rId16" w:anchor="{%22fulltext%22:[%22baka%22],%22display%22:[2],%22execidentifier%22:[%22DH-DD(2023)1206E%22],%22execdocumenttypecollection%22:[%22CEC%22]}" w:history="1">
        <w:r w:rsidRPr="001B2474">
          <w:rPr>
            <w:rStyle w:val="Hyperlink"/>
            <w:rFonts w:cstheme="minorHAnsi"/>
            <w:lang w:val="en-GB"/>
          </w:rPr>
          <w:t>DH-DD(2023)1206</w:t>
        </w:r>
      </w:hyperlink>
      <w:r w:rsidRPr="001B2474">
        <w:rPr>
          <w:rFonts w:cstheme="minorHAnsi"/>
          <w:lang w:val="en-GB"/>
        </w:rPr>
        <w:t xml:space="preserve">; </w:t>
      </w:r>
      <w:hyperlink r:id="rId17" w:anchor="{%22fulltext%22:[%22baka%22],%22display%22:[2],%22execidentifier%22:[%22DH-DD(2023)1245E%22],%22execdocumenttypecollection%22:[%22CEC%22]}" w:history="1">
        <w:r w:rsidRPr="001B2474">
          <w:rPr>
            <w:rStyle w:val="Hyperlink"/>
            <w:rFonts w:cstheme="minorHAnsi"/>
            <w:lang w:val="en-GB"/>
          </w:rPr>
          <w:t>DH-DD(2023)1245</w:t>
        </w:r>
      </w:hyperlink>
      <w:r w:rsidRPr="001B2474">
        <w:rPr>
          <w:rFonts w:cstheme="minorHAnsi"/>
          <w:lang w:val="en-GB"/>
        </w:rPr>
        <w:t xml:space="preserve">; </w:t>
      </w:r>
      <w:hyperlink r:id="rId18" w:anchor="{%22fulltext%22:[%22baka%22],%22display%22:[2],%22execidentifier%22:[%22DH-DD(2023)1446E%22],%22execdocumenttypecollection%22:[%22CEC%22]}" w:history="1">
        <w:r w:rsidRPr="001B2474">
          <w:rPr>
            <w:rStyle w:val="Hyperlink"/>
            <w:rFonts w:cstheme="minorHAnsi"/>
            <w:lang w:val="en-GB"/>
          </w:rPr>
          <w:t>DH-DD(2023)1446</w:t>
        </w:r>
      </w:hyperlink>
    </w:p>
    <w:p w14:paraId="715DAB5C" w14:textId="77777777" w:rsidR="001B2474" w:rsidRPr="001B2474" w:rsidRDefault="001B2474" w:rsidP="001B2474">
      <w:pPr>
        <w:rPr>
          <w:rFonts w:cstheme="minorHAnsi"/>
          <w:i/>
          <w:iCs/>
          <w:lang w:val="en-GB"/>
        </w:rPr>
      </w:pPr>
      <w:r w:rsidRPr="001B2474">
        <w:rPr>
          <w:rFonts w:cstheme="minorHAnsi"/>
          <w:i/>
          <w:iCs/>
          <w:lang w:val="en-GB"/>
        </w:rPr>
        <w:t>-Length of proceedings</w:t>
      </w:r>
    </w:p>
    <w:p w14:paraId="3183CCAD" w14:textId="77777777" w:rsidR="001B2474" w:rsidRPr="001B2474" w:rsidRDefault="001B2474" w:rsidP="001B2474">
      <w:pPr>
        <w:jc w:val="both"/>
        <w:rPr>
          <w:rFonts w:cstheme="minorHAnsi"/>
          <w:color w:val="000000"/>
          <w:shd w:val="clear" w:color="auto" w:fill="FFFFFF"/>
          <w:lang w:val="en-GB"/>
        </w:rPr>
      </w:pPr>
      <w:proofErr w:type="spellStart"/>
      <w:r w:rsidRPr="001B2474">
        <w:rPr>
          <w:rFonts w:cstheme="minorHAnsi"/>
          <w:color w:val="000000"/>
          <w:u w:val="single"/>
          <w:shd w:val="clear" w:color="auto" w:fill="FFFFFF"/>
          <w:lang w:val="en-GB"/>
        </w:rPr>
        <w:t>Gazso</w:t>
      </w:r>
      <w:proofErr w:type="spellEnd"/>
      <w:r w:rsidRPr="001B2474">
        <w:rPr>
          <w:rFonts w:cstheme="minorHAnsi"/>
          <w:color w:val="000000"/>
          <w:u w:val="single"/>
          <w:shd w:val="clear" w:color="auto" w:fill="FFFFFF"/>
          <w:lang w:val="en-GB"/>
        </w:rPr>
        <w:t xml:space="preserve"> group</w:t>
      </w:r>
      <w:r w:rsidRPr="001B2474">
        <w:rPr>
          <w:rFonts w:cstheme="minorHAnsi"/>
          <w:color w:val="000000"/>
          <w:shd w:val="clear" w:color="auto" w:fill="FFFFFF"/>
          <w:lang w:val="en-GB"/>
        </w:rPr>
        <w:t xml:space="preserve"> (48322/12) (ENHA): This group of cases concerns the excessive length of judicial proceedings in civil, criminal and administrative matters, and the lack of an effective remedy in this respect</w:t>
      </w:r>
    </w:p>
    <w:p w14:paraId="284FE430" w14:textId="77777777" w:rsidR="001B2474" w:rsidRPr="001B2474" w:rsidRDefault="001B2474" w:rsidP="001B2474">
      <w:pPr>
        <w:jc w:val="both"/>
        <w:rPr>
          <w:rFonts w:cstheme="minorHAnsi"/>
          <w:color w:val="000000"/>
          <w:shd w:val="clear" w:color="auto" w:fill="FFFFFF"/>
          <w:lang w:val="en-GB"/>
        </w:rPr>
      </w:pPr>
      <w:r w:rsidRPr="001B2474">
        <w:rPr>
          <w:rFonts w:cstheme="minorHAnsi"/>
          <w:color w:val="000000"/>
          <w:shd w:val="clear" w:color="auto" w:fill="FFFFFF"/>
          <w:lang w:val="en-GB"/>
        </w:rPr>
        <w:t xml:space="preserve">Presentation on </w:t>
      </w:r>
      <w:proofErr w:type="spellStart"/>
      <w:r w:rsidRPr="001B2474">
        <w:rPr>
          <w:rFonts w:cstheme="minorHAnsi"/>
          <w:color w:val="000000"/>
          <w:shd w:val="clear" w:color="auto" w:fill="FFFFFF"/>
          <w:lang w:val="en-GB"/>
        </w:rPr>
        <w:t>Hudoc.exec</w:t>
      </w:r>
      <w:proofErr w:type="spellEnd"/>
      <w:r w:rsidRPr="001B2474">
        <w:rPr>
          <w:rFonts w:cstheme="minorHAnsi"/>
          <w:color w:val="000000"/>
          <w:shd w:val="clear" w:color="auto" w:fill="FFFFFF"/>
          <w:lang w:val="en-GB"/>
        </w:rPr>
        <w:t>:</w:t>
      </w:r>
      <w:r w:rsidRPr="001B2474">
        <w:rPr>
          <w:rFonts w:cstheme="minorHAnsi"/>
          <w:lang w:val="en-GB"/>
        </w:rPr>
        <w:t xml:space="preserve"> </w:t>
      </w:r>
      <w:hyperlink r:id="rId19" w:history="1">
        <w:proofErr w:type="spellStart"/>
        <w:r w:rsidRPr="001B2474">
          <w:rPr>
            <w:rStyle w:val="Hyperlink"/>
            <w:rFonts w:cstheme="minorHAnsi"/>
            <w:shd w:val="clear" w:color="auto" w:fill="FFFFFF"/>
            <w:lang w:val="en-GB"/>
          </w:rPr>
          <w:t>Gazso</w:t>
        </w:r>
        <w:proofErr w:type="spellEnd"/>
      </w:hyperlink>
    </w:p>
    <w:p w14:paraId="1BF1C906" w14:textId="77777777" w:rsidR="001B2474" w:rsidRPr="001B2474" w:rsidRDefault="00000000" w:rsidP="001B2474">
      <w:pPr>
        <w:jc w:val="both"/>
        <w:rPr>
          <w:rFonts w:cstheme="minorHAnsi"/>
          <w:color w:val="000000"/>
          <w:highlight w:val="yellow"/>
          <w:shd w:val="clear" w:color="auto" w:fill="FFFFFF"/>
          <w:lang w:val="en-GB"/>
        </w:rPr>
      </w:pPr>
      <w:hyperlink r:id="rId20" w:anchor="{%22display%22:[2],%22EXECIdentifier%22:[%22CM/Del/Dec(2020)1390/H46-12E%22]}" w:history="1">
        <w:r w:rsidR="001B2474" w:rsidRPr="001B2474">
          <w:rPr>
            <w:rStyle w:val="Hyperlink"/>
            <w:rFonts w:cstheme="minorHAnsi"/>
            <w:shd w:val="clear" w:color="auto" w:fill="FFFFFF"/>
            <w:lang w:val="en-GB"/>
          </w:rPr>
          <w:t>Latest decisions</w:t>
        </w:r>
      </w:hyperlink>
      <w:r w:rsidR="001B2474" w:rsidRPr="001B2474">
        <w:rPr>
          <w:rFonts w:cstheme="minorHAnsi"/>
          <w:shd w:val="clear" w:color="auto" w:fill="FFFFFF"/>
          <w:lang w:val="en-GB"/>
        </w:rPr>
        <w:t xml:space="preserve">: </w:t>
      </w:r>
      <w:hyperlink r:id="rId21" w:history="1">
        <w:r w:rsidR="001B2474" w:rsidRPr="001B2474">
          <w:rPr>
            <w:rStyle w:val="Hyperlink"/>
            <w:rFonts w:cstheme="minorHAnsi"/>
            <w:shd w:val="clear" w:color="auto" w:fill="FFFFFF"/>
            <w:lang w:val="en-GB"/>
          </w:rPr>
          <w:t>CM/Del/Dec(2023)1468/H46-13</w:t>
        </w:r>
      </w:hyperlink>
    </w:p>
    <w:p w14:paraId="25B9BEE0" w14:textId="77777777" w:rsidR="001B2474" w:rsidRPr="001B2474" w:rsidRDefault="001B2474" w:rsidP="001B2474">
      <w:pPr>
        <w:jc w:val="both"/>
        <w:rPr>
          <w:rFonts w:cstheme="minorHAnsi"/>
          <w:lang w:val="en-GB"/>
        </w:rPr>
      </w:pPr>
      <w:r w:rsidRPr="001B2474">
        <w:rPr>
          <w:rFonts w:cstheme="minorHAnsi"/>
          <w:color w:val="000000"/>
          <w:shd w:val="clear" w:color="auto" w:fill="FFFFFF"/>
          <w:lang w:val="en-GB"/>
        </w:rPr>
        <w:t xml:space="preserve">Latest submissions: </w:t>
      </w:r>
      <w:hyperlink r:id="rId22" w:history="1">
        <w:r w:rsidRPr="001B2474">
          <w:rPr>
            <w:rStyle w:val="Hyperlink"/>
            <w:rFonts w:cstheme="minorHAnsi"/>
            <w:lang w:val="en-GB"/>
          </w:rPr>
          <w:t>DH-DD(2023)526</w:t>
        </w:r>
      </w:hyperlink>
    </w:p>
    <w:p w14:paraId="61DC6D17" w14:textId="77777777" w:rsidR="001B2474" w:rsidRPr="001B2474" w:rsidRDefault="001B2474" w:rsidP="001B2474">
      <w:pPr>
        <w:spacing w:line="259" w:lineRule="auto"/>
        <w:jc w:val="both"/>
        <w:rPr>
          <w:rFonts w:cstheme="minorHAnsi"/>
          <w:i/>
          <w:iCs/>
          <w:lang w:val="en-GB"/>
        </w:rPr>
      </w:pPr>
      <w:r w:rsidRPr="001B2474">
        <w:rPr>
          <w:rFonts w:cstheme="minorHAnsi"/>
          <w:i/>
          <w:iCs/>
          <w:lang w:val="en-GB"/>
        </w:rPr>
        <w:lastRenderedPageBreak/>
        <w:t>-Transparency of administrative decisions and scope of sanctions (incl. their publication and rules on collection of related data) and judicial review (incl. scope, suspensive effect)</w:t>
      </w:r>
    </w:p>
    <w:p w14:paraId="605203C3" w14:textId="77777777" w:rsidR="001B2474" w:rsidRPr="001B2474" w:rsidRDefault="001B2474" w:rsidP="001B2474">
      <w:pPr>
        <w:jc w:val="both"/>
        <w:rPr>
          <w:rFonts w:cstheme="minorHAnsi"/>
          <w:color w:val="000000"/>
          <w:shd w:val="clear" w:color="auto" w:fill="FFFFFF"/>
          <w:lang w:val="en-US"/>
        </w:rPr>
      </w:pPr>
      <w:r w:rsidRPr="001B2474">
        <w:rPr>
          <w:rFonts w:cstheme="minorHAnsi"/>
          <w:u w:val="single"/>
          <w:lang w:val="en-GB"/>
        </w:rPr>
        <w:t xml:space="preserve">Szabó and </w:t>
      </w:r>
      <w:proofErr w:type="spellStart"/>
      <w:r w:rsidRPr="001B2474">
        <w:rPr>
          <w:rFonts w:cstheme="minorHAnsi"/>
          <w:u w:val="single"/>
          <w:lang w:val="en-GB"/>
        </w:rPr>
        <w:t>Vissy</w:t>
      </w:r>
      <w:proofErr w:type="spellEnd"/>
      <w:r w:rsidRPr="001B2474">
        <w:rPr>
          <w:rFonts w:cstheme="minorHAnsi"/>
          <w:u w:val="single"/>
          <w:lang w:val="en-GB"/>
        </w:rPr>
        <w:t xml:space="preserve"> group</w:t>
      </w:r>
      <w:r w:rsidRPr="001B2474">
        <w:rPr>
          <w:rFonts w:cstheme="minorHAnsi"/>
          <w:lang w:val="en-GB"/>
        </w:rPr>
        <w:t xml:space="preserve"> (37138/14) (ENHA): </w:t>
      </w:r>
      <w:r w:rsidRPr="001B2474">
        <w:rPr>
          <w:rFonts w:cstheme="minorHAnsi"/>
          <w:color w:val="000000"/>
          <w:shd w:val="clear" w:color="auto" w:fill="FFFFFF"/>
          <w:lang w:val="en-US"/>
        </w:rPr>
        <w:t>This group concerns the violation of the applicants’ right to respect for private and family life and for correspondence on account of the Hungarian legislation on secret surveillance measures, within the framework of intelligence-gathering on national security grounds which did not provide for safeguards sufficiently precise, effective and comprehensive on the ordering, execution and potential redressing of such measures.</w:t>
      </w:r>
    </w:p>
    <w:p w14:paraId="45674C12" w14:textId="77777777" w:rsidR="001B2474" w:rsidRPr="001B2474" w:rsidRDefault="001B2474" w:rsidP="001B2474">
      <w:pPr>
        <w:jc w:val="both"/>
        <w:rPr>
          <w:rFonts w:cstheme="minorHAnsi"/>
          <w:color w:val="000000"/>
          <w:shd w:val="clear" w:color="auto" w:fill="FFFFFF"/>
          <w:lang w:val="en-US"/>
        </w:rPr>
      </w:pPr>
      <w:r w:rsidRPr="001B2474">
        <w:rPr>
          <w:rFonts w:cstheme="minorHAnsi"/>
          <w:color w:val="000000"/>
          <w:shd w:val="clear" w:color="auto" w:fill="FFFFFF"/>
          <w:lang w:val="en-US"/>
        </w:rPr>
        <w:t xml:space="preserve">Presentation on </w:t>
      </w:r>
      <w:proofErr w:type="spellStart"/>
      <w:r w:rsidRPr="001B2474">
        <w:rPr>
          <w:rFonts w:cstheme="minorHAnsi"/>
          <w:color w:val="000000"/>
          <w:shd w:val="clear" w:color="auto" w:fill="FFFFFF"/>
          <w:lang w:val="en-US"/>
        </w:rPr>
        <w:t>Hudoc</w:t>
      </w:r>
      <w:proofErr w:type="spellEnd"/>
      <w:r w:rsidRPr="001B2474">
        <w:rPr>
          <w:rFonts w:cstheme="minorHAnsi"/>
          <w:color w:val="000000"/>
          <w:shd w:val="clear" w:color="auto" w:fill="FFFFFF"/>
          <w:lang w:val="en-US"/>
        </w:rPr>
        <w:t xml:space="preserve"> exec: </w:t>
      </w:r>
      <w:hyperlink r:id="rId23" w:history="1">
        <w:r w:rsidRPr="001B2474">
          <w:rPr>
            <w:rStyle w:val="Hyperlink"/>
            <w:rFonts w:cstheme="minorHAnsi"/>
            <w:lang w:val="en-GB"/>
          </w:rPr>
          <w:t xml:space="preserve">Szabó and </w:t>
        </w:r>
        <w:proofErr w:type="spellStart"/>
        <w:r w:rsidRPr="001B2474">
          <w:rPr>
            <w:rStyle w:val="Hyperlink"/>
            <w:rFonts w:cstheme="minorHAnsi"/>
            <w:lang w:val="en-GB"/>
          </w:rPr>
          <w:t>Vissy</w:t>
        </w:r>
        <w:proofErr w:type="spellEnd"/>
      </w:hyperlink>
    </w:p>
    <w:p w14:paraId="26DE2E86" w14:textId="77777777" w:rsidR="001B2474" w:rsidRPr="001B2474" w:rsidRDefault="001B2474" w:rsidP="001B2474">
      <w:pPr>
        <w:jc w:val="both"/>
        <w:rPr>
          <w:rFonts w:cstheme="minorHAnsi"/>
          <w:color w:val="000000"/>
          <w:shd w:val="clear" w:color="auto" w:fill="FFFFFF"/>
          <w:lang w:val="en-US"/>
        </w:rPr>
      </w:pPr>
      <w:r w:rsidRPr="001B2474">
        <w:rPr>
          <w:rFonts w:cstheme="minorHAnsi"/>
          <w:color w:val="000000"/>
          <w:shd w:val="clear" w:color="auto" w:fill="FFFFFF"/>
          <w:lang w:val="en-US"/>
        </w:rPr>
        <w:t xml:space="preserve">Latest decisions: Interim resolution adopted in March 2023: </w:t>
      </w:r>
      <w:hyperlink r:id="rId24" w:tgtFrame="_blank" w:tooltip="Interim Resolution CM/ResDH(2023)33 - Execution of the judgments of the European Court of Human Rights - Szabó and Vissy group against Hungary (Application No. 37138/14)" w:history="1">
        <w:r w:rsidRPr="001B2474">
          <w:rPr>
            <w:rStyle w:val="sc215c3bc"/>
            <w:rFonts w:cstheme="minorHAnsi"/>
            <w:color w:val="0069D6"/>
            <w:u w:val="single"/>
            <w:shd w:val="clear" w:color="auto" w:fill="FFFFFF"/>
            <w:lang w:val="en-US"/>
          </w:rPr>
          <w:t>CM/</w:t>
        </w:r>
        <w:proofErr w:type="spellStart"/>
        <w:r w:rsidRPr="001B2474">
          <w:rPr>
            <w:rStyle w:val="sc215c3bc"/>
            <w:rFonts w:cstheme="minorHAnsi"/>
            <w:color w:val="0069D6"/>
            <w:u w:val="single"/>
            <w:shd w:val="clear" w:color="auto" w:fill="FFFFFF"/>
            <w:lang w:val="en-US"/>
          </w:rPr>
          <w:t>ResDH</w:t>
        </w:r>
        <w:proofErr w:type="spellEnd"/>
        <w:r w:rsidRPr="001B2474">
          <w:rPr>
            <w:rStyle w:val="sc215c3bc"/>
            <w:rFonts w:cstheme="minorHAnsi"/>
            <w:color w:val="0069D6"/>
            <w:u w:val="single"/>
            <w:shd w:val="clear" w:color="auto" w:fill="FFFFFF"/>
            <w:lang w:val="en-US"/>
          </w:rPr>
          <w:t>(2023)33</w:t>
        </w:r>
      </w:hyperlink>
      <w:r w:rsidRPr="001B2474">
        <w:rPr>
          <w:rFonts w:cstheme="minorHAnsi"/>
          <w:lang w:val="en-US"/>
        </w:rPr>
        <w:t xml:space="preserve"> </w:t>
      </w:r>
      <w:r w:rsidRPr="001B2474">
        <w:rPr>
          <w:rFonts w:cstheme="minorHAnsi"/>
          <w:color w:val="000000"/>
          <w:shd w:val="clear" w:color="auto" w:fill="FFFFFF"/>
          <w:lang w:val="en-US"/>
        </w:rPr>
        <w:t xml:space="preserve">(already referenced in the 2023 </w:t>
      </w:r>
      <w:proofErr w:type="spellStart"/>
      <w:r w:rsidRPr="001B2474">
        <w:rPr>
          <w:rFonts w:cstheme="minorHAnsi"/>
          <w:color w:val="000000"/>
          <w:shd w:val="clear" w:color="auto" w:fill="FFFFFF"/>
          <w:lang w:val="en-US"/>
        </w:rPr>
        <w:t>RoL</w:t>
      </w:r>
      <w:proofErr w:type="spellEnd"/>
      <w:r w:rsidRPr="001B2474">
        <w:rPr>
          <w:rFonts w:cstheme="minorHAnsi"/>
          <w:color w:val="000000"/>
          <w:shd w:val="clear" w:color="auto" w:fill="FFFFFF"/>
          <w:lang w:val="en-US"/>
        </w:rPr>
        <w:t xml:space="preserve"> report)</w:t>
      </w:r>
    </w:p>
    <w:p w14:paraId="34AB984E" w14:textId="77777777" w:rsidR="001B2474" w:rsidRDefault="001B2474" w:rsidP="001B2474">
      <w:pPr>
        <w:jc w:val="both"/>
        <w:rPr>
          <w:rStyle w:val="Hyperlink"/>
          <w:rFonts w:cstheme="minorHAnsi"/>
          <w:shd w:val="clear" w:color="auto" w:fill="FFFFFF"/>
          <w:lang w:val="en-US"/>
        </w:rPr>
      </w:pPr>
      <w:r w:rsidRPr="001B2474">
        <w:rPr>
          <w:rFonts w:cstheme="minorHAnsi"/>
          <w:color w:val="000000"/>
          <w:shd w:val="clear" w:color="auto" w:fill="FFFFFF"/>
          <w:lang w:val="en-US"/>
        </w:rPr>
        <w:t xml:space="preserve">Latest submissions: </w:t>
      </w:r>
      <w:hyperlink r:id="rId25" w:history="1">
        <w:r w:rsidRPr="001B2474">
          <w:rPr>
            <w:rStyle w:val="Hyperlink"/>
            <w:rFonts w:cstheme="minorHAnsi"/>
            <w:shd w:val="clear" w:color="auto" w:fill="FFFFFF"/>
            <w:lang w:val="en-US"/>
          </w:rPr>
          <w:t>DH-DD(2023)208</w:t>
        </w:r>
      </w:hyperlink>
      <w:r w:rsidRPr="001B2474">
        <w:rPr>
          <w:rFonts w:cstheme="minorHAnsi"/>
          <w:color w:val="000000"/>
          <w:shd w:val="clear" w:color="auto" w:fill="FFFFFF"/>
          <w:lang w:val="en-US"/>
        </w:rPr>
        <w:t xml:space="preserve">; </w:t>
      </w:r>
      <w:hyperlink r:id="rId26" w:history="1">
        <w:r w:rsidRPr="001B2474">
          <w:rPr>
            <w:rStyle w:val="Hyperlink"/>
            <w:rFonts w:cstheme="minorHAnsi"/>
            <w:shd w:val="clear" w:color="auto" w:fill="FFFFFF"/>
            <w:lang w:val="en-US"/>
          </w:rPr>
          <w:t>DH-DD(2023)1207</w:t>
        </w:r>
      </w:hyperlink>
    </w:p>
    <w:p w14:paraId="31CD6064" w14:textId="77777777" w:rsidR="000B4456" w:rsidRDefault="000B4456" w:rsidP="001B2474">
      <w:pPr>
        <w:jc w:val="both"/>
        <w:rPr>
          <w:rStyle w:val="Hyperlink"/>
          <w:rFonts w:cstheme="minorHAnsi"/>
          <w:shd w:val="clear" w:color="auto" w:fill="FFFFFF"/>
          <w:lang w:val="en-US"/>
        </w:rPr>
      </w:pPr>
    </w:p>
    <w:p w14:paraId="559E5E01" w14:textId="77777777" w:rsidR="00E02E99" w:rsidRDefault="00E02E99" w:rsidP="00E02E99">
      <w:pPr>
        <w:rPr>
          <w:lang w:val="en-GB"/>
        </w:rPr>
      </w:pPr>
      <w:r>
        <w:rPr>
          <w:lang w:val="en-GB"/>
        </w:rPr>
        <w:t>PACE</w:t>
      </w:r>
    </w:p>
    <w:p w14:paraId="37893DCE" w14:textId="77777777" w:rsidR="00E02E99" w:rsidRDefault="00E02E99" w:rsidP="00E02E99">
      <w:pPr>
        <w:rPr>
          <w:lang w:val="en-GB"/>
        </w:rPr>
      </w:pPr>
    </w:p>
    <w:p w14:paraId="2714E1D4" w14:textId="77777777" w:rsidR="00E02E99" w:rsidRPr="005B145D" w:rsidRDefault="00E02E99" w:rsidP="00E02E99">
      <w:pPr>
        <w:rPr>
          <w:rFonts w:eastAsia="Times New Roman" w:cstheme="minorHAnsi"/>
          <w:color w:val="000000"/>
          <w:lang w:val="en-GB"/>
        </w:rPr>
      </w:pPr>
      <w:r w:rsidRPr="005B145D">
        <w:rPr>
          <w:rFonts w:eastAsia="Times New Roman" w:cstheme="minorHAnsi"/>
          <w:color w:val="000000"/>
          <w:lang w:val="en-GB"/>
        </w:rPr>
        <w:t>Committee on the Honouring of Obligations and Commitments by member States of the Council of Europe (Monitoring Committee)</w:t>
      </w:r>
    </w:p>
    <w:p w14:paraId="6CE40605" w14:textId="77777777" w:rsidR="000B4456" w:rsidRPr="00E02E99" w:rsidRDefault="000B4456" w:rsidP="001B2474">
      <w:pPr>
        <w:jc w:val="both"/>
        <w:rPr>
          <w:rStyle w:val="Hyperlink"/>
          <w:rFonts w:cstheme="minorHAnsi"/>
          <w:shd w:val="clear" w:color="auto" w:fill="FFFFFF"/>
          <w:lang w:val="en-GB"/>
        </w:rPr>
      </w:pPr>
    </w:p>
    <w:p w14:paraId="72B8F151" w14:textId="77777777" w:rsidR="000B4456" w:rsidRDefault="000B4456" w:rsidP="001B2474">
      <w:pPr>
        <w:jc w:val="both"/>
        <w:rPr>
          <w:rStyle w:val="Hyperlink"/>
          <w:rFonts w:cstheme="minorHAnsi"/>
          <w:shd w:val="clear" w:color="auto" w:fill="FFFFFF"/>
          <w:lang w:val="en-US"/>
        </w:rPr>
      </w:pPr>
    </w:p>
    <w:p w14:paraId="7BB75578" w14:textId="6464A2CC" w:rsidR="000B4456" w:rsidRPr="000B4456" w:rsidRDefault="00000000" w:rsidP="000B4456">
      <w:pPr>
        <w:rPr>
          <w:rFonts w:eastAsia="Calibri" w:cstheme="minorHAnsi"/>
          <w:lang w:val="en-GB"/>
        </w:rPr>
      </w:pPr>
      <w:hyperlink r:id="rId27" w:anchor="trace-1" w:history="1">
        <w:r w:rsidR="000B4456" w:rsidRPr="000B4456">
          <w:rPr>
            <w:rFonts w:eastAsia="Calibri" w:cstheme="minorHAnsi"/>
            <w:color w:val="0000FF"/>
            <w:u w:val="single"/>
            <w:lang w:val="en-US"/>
          </w:rPr>
          <w:t>Doc. 15619</w:t>
        </w:r>
      </w:hyperlink>
      <w:r w:rsidR="000B4456" w:rsidRPr="000B4456">
        <w:rPr>
          <w:rFonts w:eastAsia="Calibri" w:cstheme="minorHAnsi"/>
          <w:lang w:val="en-US"/>
        </w:rPr>
        <w:t xml:space="preserve"> | </w:t>
      </w:r>
      <w:hyperlink r:id="rId28" w:anchor="trace-3" w:history="1">
        <w:r w:rsidR="000B4456" w:rsidRPr="000B4456">
          <w:rPr>
            <w:rFonts w:eastAsia="Calibri" w:cstheme="minorHAnsi"/>
            <w:color w:val="0000FF"/>
            <w:u w:val="single"/>
            <w:lang w:val="en-US"/>
          </w:rPr>
          <w:t>Resolution 2460 (2022)</w:t>
        </w:r>
      </w:hyperlink>
      <w:r w:rsidR="000B4456" w:rsidRPr="000B4456">
        <w:rPr>
          <w:rFonts w:eastAsia="Calibri" w:cstheme="minorHAnsi"/>
          <w:lang w:val="en-US"/>
        </w:rPr>
        <w:t xml:space="preserve"> | </w:t>
      </w:r>
      <w:hyperlink r:id="rId29" w:history="1">
        <w:r w:rsidR="000B4456" w:rsidRPr="000B4456">
          <w:rPr>
            <w:rFonts w:eastAsia="Calibri" w:cstheme="minorHAnsi"/>
            <w:color w:val="0000FF"/>
            <w:u w:val="single"/>
            <w:lang w:val="en-US"/>
          </w:rPr>
          <w:t>Doc. 15893</w:t>
        </w:r>
      </w:hyperlink>
    </w:p>
    <w:p w14:paraId="4356DA79" w14:textId="77777777" w:rsidR="000B4456" w:rsidRPr="000B4456" w:rsidRDefault="000B4456" w:rsidP="000B4456">
      <w:pPr>
        <w:rPr>
          <w:rFonts w:eastAsia="Times New Roman" w:cstheme="minorHAnsi"/>
          <w:lang w:val="en-US"/>
        </w:rPr>
      </w:pPr>
    </w:p>
    <w:p w14:paraId="760833CA" w14:textId="77777777" w:rsidR="000B4456" w:rsidRPr="000B4456" w:rsidRDefault="000B4456" w:rsidP="000B4456">
      <w:pPr>
        <w:contextualSpacing/>
        <w:jc w:val="both"/>
        <w:rPr>
          <w:rFonts w:eastAsia="Calibri" w:cstheme="minorHAnsi"/>
          <w:lang w:val="en-US"/>
        </w:rPr>
      </w:pPr>
      <w:r w:rsidRPr="000B4456">
        <w:rPr>
          <w:rFonts w:eastAsia="Calibri" w:cstheme="minorHAnsi"/>
          <w:lang w:val="en-US"/>
        </w:rPr>
        <w:t xml:space="preserve">With reference to </w:t>
      </w:r>
      <w:hyperlink r:id="rId30" w:history="1">
        <w:r w:rsidRPr="000B4456">
          <w:rPr>
            <w:rFonts w:eastAsia="Calibri" w:cstheme="minorHAnsi"/>
            <w:color w:val="0000FF"/>
            <w:u w:val="single"/>
            <w:lang w:val="en-GB"/>
          </w:rPr>
          <w:t>Resolution 2460 (2022)</w:t>
        </w:r>
      </w:hyperlink>
      <w:r w:rsidRPr="000B4456">
        <w:rPr>
          <w:rFonts w:eastAsia="Calibri" w:cstheme="minorHAnsi"/>
          <w:lang w:val="en-US"/>
        </w:rPr>
        <w:t>, the Assembly reiterates its call to the Hungarian authorities to address the serious questions regarding functioning of democratic institutions in the country as a result of</w:t>
      </w:r>
      <w:r w:rsidRPr="000B4456">
        <w:rPr>
          <w:rFonts w:eastAsia="Calibri" w:cstheme="minorHAnsi"/>
          <w:lang w:val="en-GB"/>
        </w:rPr>
        <w:t xml:space="preserve"> </w:t>
      </w:r>
      <w:r w:rsidRPr="000B4456">
        <w:rPr>
          <w:rFonts w:eastAsia="Calibri" w:cstheme="minorHAnsi"/>
          <w:lang w:val="en-US"/>
        </w:rPr>
        <w:t xml:space="preserve">the cumulative effects of the measures that negatively impact independence of the judiciary, the situation of media, and the transparency and accountability of State institutions. It takes note of the judicial reform, </w:t>
      </w:r>
      <w:bookmarkStart w:id="1" w:name="_Hlk152861205"/>
      <w:r w:rsidRPr="000B4456">
        <w:rPr>
          <w:rFonts w:eastAsia="Calibri" w:cstheme="minorHAnsi"/>
          <w:lang w:val="en-US"/>
        </w:rPr>
        <w:t xml:space="preserve">adopted after consultation with the European Commission </w:t>
      </w:r>
      <w:bookmarkEnd w:id="1"/>
      <w:r w:rsidRPr="000B4456">
        <w:rPr>
          <w:rFonts w:eastAsia="Calibri" w:cstheme="minorHAnsi"/>
          <w:lang w:val="en-US"/>
        </w:rPr>
        <w:t xml:space="preserve">in May 2023, with the objective to address some of these concerns. The Assembly notes that the “state of danger” was further extended until 23 May 2024 and reiterates its position that the use of special legal orders must be restricted to what is strictly necessary and proportionate and must be limited in time. The Assembly calls on the Hungarian parliament to postpone the consideration </w:t>
      </w:r>
      <w:bookmarkStart w:id="2" w:name="_Hlk155262966"/>
      <w:r w:rsidRPr="000B4456">
        <w:rPr>
          <w:rFonts w:eastAsia="Calibri" w:cstheme="minorHAnsi"/>
          <w:lang w:val="en-US"/>
        </w:rPr>
        <w:t xml:space="preserve">of the legislative package on “defense of sovereignty” </w:t>
      </w:r>
      <w:bookmarkEnd w:id="2"/>
      <w:r w:rsidRPr="000B4456">
        <w:rPr>
          <w:rFonts w:eastAsia="Calibri" w:cstheme="minorHAnsi"/>
          <w:lang w:val="en-US"/>
        </w:rPr>
        <w:t>until an opinion</w:t>
      </w:r>
      <w:r w:rsidRPr="000B4456">
        <w:rPr>
          <w:rFonts w:eastAsia="Calibri" w:cstheme="minorHAnsi"/>
          <w:vertAlign w:val="superscript"/>
          <w:lang w:val="en-US"/>
        </w:rPr>
        <w:footnoteReference w:id="1"/>
      </w:r>
      <w:r w:rsidRPr="000B4456">
        <w:rPr>
          <w:rFonts w:eastAsia="Calibri" w:cstheme="minorHAnsi"/>
          <w:lang w:val="en-US"/>
        </w:rPr>
        <w:t xml:space="preserve"> has been issued by the Venice Commission, and to fully address </w:t>
      </w:r>
      <w:r w:rsidRPr="000B4456">
        <w:rPr>
          <w:rFonts w:eastAsia="Calibri" w:cstheme="minorHAnsi"/>
          <w:shd w:val="clear" w:color="auto" w:fill="FFFFFF"/>
          <w:lang w:val="en-GB"/>
        </w:rPr>
        <w:t>any of the Commission’s concerns and recommendations both in letter and in spirit.</w:t>
      </w:r>
    </w:p>
    <w:p w14:paraId="17E06197" w14:textId="77777777" w:rsidR="000B4456" w:rsidRPr="001B2474" w:rsidRDefault="000B4456" w:rsidP="001B2474">
      <w:pPr>
        <w:jc w:val="both"/>
        <w:rPr>
          <w:rFonts w:cstheme="minorHAnsi"/>
          <w:color w:val="000000"/>
          <w:shd w:val="clear" w:color="auto" w:fill="FFFFFF"/>
          <w:lang w:val="en-US"/>
        </w:rPr>
      </w:pPr>
    </w:p>
    <w:p w14:paraId="64213F43" w14:textId="2CF26B74" w:rsidR="00211FF3" w:rsidRPr="00977D1D" w:rsidRDefault="00211FF3" w:rsidP="004A628B">
      <w:pPr>
        <w:pStyle w:val="Default"/>
        <w:rPr>
          <w:color w:val="auto"/>
          <w:sz w:val="20"/>
          <w:szCs w:val="20"/>
          <w:lang w:val="en-US"/>
        </w:rPr>
      </w:pPr>
    </w:p>
    <w:p w14:paraId="5C79AE80" w14:textId="69D278CD" w:rsidR="004A628B" w:rsidRDefault="004A628B" w:rsidP="004A628B">
      <w:pPr>
        <w:pStyle w:val="Heading1"/>
        <w:rPr>
          <w:lang w:val="en-US"/>
        </w:rPr>
      </w:pPr>
      <w:bookmarkStart w:id="3" w:name="_Toc36635832"/>
      <w:r>
        <w:rPr>
          <w:lang w:val="en-US"/>
        </w:rPr>
        <w:t xml:space="preserve">II </w:t>
      </w:r>
      <w:r w:rsidRPr="00546B57">
        <w:rPr>
          <w:lang w:val="en-US"/>
        </w:rPr>
        <w:t>Anti-corruption framework</w:t>
      </w:r>
      <w:bookmarkEnd w:id="3"/>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5EDCB3CC" w14:textId="77777777" w:rsidR="002B5DA7" w:rsidRDefault="002B5DA7" w:rsidP="002B5DA7">
      <w:pPr>
        <w:pStyle w:val="NoSpacing"/>
        <w:rPr>
          <w:lang w:val="en-GB"/>
        </w:rPr>
      </w:pPr>
      <w:r>
        <w:rPr>
          <w:lang w:val="en-US"/>
        </w:rPr>
        <w:t>GRECO</w:t>
      </w:r>
      <w:r w:rsidRPr="00977D1D">
        <w:rPr>
          <w:rStyle w:val="Hyperlink"/>
          <w:rFonts w:ascii="Calibri" w:hAnsi="Calibri" w:cs="Calibri"/>
          <w:color w:val="auto"/>
          <w:u w:val="none"/>
          <w:shd w:val="clear" w:color="auto" w:fill="FFFFFF"/>
          <w:lang w:val="en-GB"/>
        </w:rPr>
        <w:t xml:space="preserve"> (</w:t>
      </w:r>
      <w:r>
        <w:rPr>
          <w:lang w:val="en-GB"/>
        </w:rPr>
        <w:t>9 June</w:t>
      </w:r>
      <w:r w:rsidRPr="00977D1D">
        <w:rPr>
          <w:lang w:val="en-GB"/>
        </w:rPr>
        <w:t xml:space="preserve"> 202</w:t>
      </w:r>
      <w:r>
        <w:rPr>
          <w:lang w:val="en-GB"/>
        </w:rPr>
        <w:t>3</w:t>
      </w:r>
      <w:r w:rsidRPr="00977D1D">
        <w:rPr>
          <w:lang w:val="en-GB"/>
        </w:rPr>
        <w:t>)</w:t>
      </w:r>
    </w:p>
    <w:p w14:paraId="53EA812F" w14:textId="77777777" w:rsidR="002B5DA7" w:rsidRPr="002C5754" w:rsidRDefault="00000000" w:rsidP="002B5DA7">
      <w:pPr>
        <w:pStyle w:val="NoSpacing"/>
        <w:rPr>
          <w:rStyle w:val="Hyperlink"/>
          <w:rFonts w:ascii="Calibri" w:hAnsi="Calibri" w:cs="Calibri"/>
          <w:u w:val="none"/>
          <w:shd w:val="clear" w:color="auto" w:fill="FFFFFF"/>
          <w:lang w:val="en-GB"/>
        </w:rPr>
      </w:pPr>
      <w:hyperlink r:id="rId31" w:history="1">
        <w:r w:rsidR="002B5DA7" w:rsidRPr="002C5754">
          <w:rPr>
            <w:rStyle w:val="Hyperlink"/>
            <w:rFonts w:ascii="Calibri" w:eastAsia="Times New Roman" w:hAnsi="Calibri" w:cs="Calibri"/>
            <w:lang w:val="en-US" w:eastAsia="fr-FR"/>
          </w:rPr>
          <w:t>4th Interim Compliance Report</w:t>
        </w:r>
      </w:hyperlink>
    </w:p>
    <w:p w14:paraId="666ACD60" w14:textId="77777777" w:rsidR="002B5DA7" w:rsidRDefault="002B5DA7" w:rsidP="002B5DA7">
      <w:pPr>
        <w:rPr>
          <w:lang w:val="en-GB"/>
        </w:rPr>
      </w:pPr>
      <w:r w:rsidRPr="00977D1D">
        <w:rPr>
          <w:lang w:val="en-GB"/>
        </w:rPr>
        <w:t>4</w:t>
      </w:r>
      <w:r w:rsidRPr="00977D1D">
        <w:rPr>
          <w:vertAlign w:val="superscript"/>
          <w:lang w:val="en-GB"/>
        </w:rPr>
        <w:t>th</w:t>
      </w:r>
      <w:r w:rsidRPr="00977D1D">
        <w:rPr>
          <w:lang w:val="en-GB"/>
        </w:rPr>
        <w:t xml:space="preserve"> round: Second Compliance Report in respect of MPs, judges and prosecutors</w:t>
      </w:r>
    </w:p>
    <w:p w14:paraId="2A55CBE5" w14:textId="77777777" w:rsidR="002B5DA7" w:rsidRDefault="002B5DA7" w:rsidP="002B5DA7">
      <w:pPr>
        <w:rPr>
          <w:lang w:val="en-GB"/>
        </w:rPr>
      </w:pPr>
    </w:p>
    <w:p w14:paraId="387BD8DF" w14:textId="77777777" w:rsidR="002B5DA7" w:rsidRDefault="002B5DA7" w:rsidP="002B5DA7">
      <w:pPr>
        <w:pStyle w:val="NoSpacing"/>
        <w:rPr>
          <w:lang w:val="en-GB"/>
        </w:rPr>
      </w:pPr>
      <w:r>
        <w:rPr>
          <w:lang w:val="en-US"/>
        </w:rPr>
        <w:t>GRECO</w:t>
      </w:r>
      <w:r w:rsidRPr="00977D1D">
        <w:rPr>
          <w:rStyle w:val="Hyperlink"/>
          <w:rFonts w:ascii="Calibri" w:hAnsi="Calibri" w:cs="Calibri"/>
          <w:color w:val="auto"/>
          <w:u w:val="none"/>
          <w:shd w:val="clear" w:color="auto" w:fill="FFFFFF"/>
          <w:lang w:val="en-GB"/>
        </w:rPr>
        <w:t xml:space="preserve"> (</w:t>
      </w:r>
      <w:r>
        <w:rPr>
          <w:lang w:val="en-GB"/>
        </w:rPr>
        <w:t>9 June</w:t>
      </w:r>
      <w:r w:rsidRPr="00977D1D">
        <w:rPr>
          <w:lang w:val="en-GB"/>
        </w:rPr>
        <w:t xml:space="preserve"> 202</w:t>
      </w:r>
      <w:r>
        <w:rPr>
          <w:lang w:val="en-GB"/>
        </w:rPr>
        <w:t>3</w:t>
      </w:r>
      <w:r w:rsidRPr="00977D1D">
        <w:rPr>
          <w:lang w:val="en-GB"/>
        </w:rPr>
        <w:t>)</w:t>
      </w:r>
    </w:p>
    <w:p w14:paraId="023BC433" w14:textId="77777777" w:rsidR="002B5DA7" w:rsidRPr="002C5754" w:rsidRDefault="00000000" w:rsidP="002B5DA7">
      <w:pPr>
        <w:pStyle w:val="NoSpacing"/>
        <w:rPr>
          <w:rFonts w:ascii="Calibri" w:hAnsi="Calibri" w:cs="Calibri"/>
          <w:lang w:val="en-GB"/>
        </w:rPr>
      </w:pPr>
      <w:hyperlink r:id="rId32" w:history="1">
        <w:r w:rsidR="002B5DA7" w:rsidRPr="002C5754">
          <w:rPr>
            <w:rStyle w:val="Hyperlink"/>
            <w:rFonts w:ascii="Calibri" w:hAnsi="Calibri" w:cs="Calibri"/>
            <w:lang w:val="en-GB"/>
          </w:rPr>
          <w:t>Evaluation Report</w:t>
        </w:r>
      </w:hyperlink>
    </w:p>
    <w:p w14:paraId="49E27C31" w14:textId="77777777" w:rsidR="002B5DA7" w:rsidRPr="00F8432D" w:rsidRDefault="002B5DA7" w:rsidP="002B5DA7">
      <w:pPr>
        <w:pStyle w:val="NoSpacing"/>
        <w:rPr>
          <w:rFonts w:ascii="Calibri" w:hAnsi="Calibri" w:cs="Calibri"/>
          <w:color w:val="161616"/>
          <w:sz w:val="22"/>
          <w:szCs w:val="22"/>
          <w:lang w:val="en-GB"/>
        </w:rPr>
      </w:pPr>
      <w:r w:rsidRPr="00330E54">
        <w:rPr>
          <w:lang w:val="en-GB"/>
        </w:rPr>
        <w:t>5</w:t>
      </w:r>
      <w:r w:rsidRPr="00330E54">
        <w:rPr>
          <w:vertAlign w:val="superscript"/>
          <w:lang w:val="en-GB"/>
        </w:rPr>
        <w:t>th</w:t>
      </w:r>
      <w:r w:rsidRPr="00330E54">
        <w:rPr>
          <w:lang w:val="en-GB"/>
        </w:rPr>
        <w:t xml:space="preserve"> round</w:t>
      </w:r>
      <w:r>
        <w:rPr>
          <w:lang w:val="en-GB"/>
        </w:rPr>
        <w:t xml:space="preserve">: </w:t>
      </w:r>
      <w:r w:rsidRPr="000F4FF6">
        <w:rPr>
          <w:lang w:val="en-GB"/>
        </w:rPr>
        <w:t>Preventing corruption and promoting integrity in central governments (top executive functions) and law enforcement agencies</w:t>
      </w:r>
    </w:p>
    <w:p w14:paraId="2F8D645A" w14:textId="77777777" w:rsidR="00D5427E" w:rsidRPr="002B5DA7" w:rsidRDefault="00D5427E" w:rsidP="00734D8B">
      <w:pPr>
        <w:rPr>
          <w:lang w:val="en-GB"/>
        </w:rPr>
      </w:pPr>
    </w:p>
    <w:p w14:paraId="3F060345" w14:textId="300DA87F" w:rsidR="004A628B" w:rsidRDefault="001D0AE0" w:rsidP="004A628B">
      <w:pPr>
        <w:pStyle w:val="Heading1"/>
        <w:rPr>
          <w:lang w:val="en-US"/>
        </w:rPr>
      </w:pPr>
      <w:bookmarkStart w:id="4" w:name="_Toc36635845"/>
      <w:r>
        <w:rPr>
          <w:lang w:val="en-US"/>
        </w:rPr>
        <w:t xml:space="preserve">III </w:t>
      </w:r>
      <w:r w:rsidR="004A628B" w:rsidRPr="00546B57">
        <w:rPr>
          <w:lang w:val="en-US"/>
        </w:rPr>
        <w:t>Media pluralism</w:t>
      </w:r>
      <w:bookmarkEnd w:id="4"/>
      <w:r w:rsidR="004A628B" w:rsidRPr="00546B57">
        <w:rPr>
          <w:lang w:val="en-US"/>
        </w:rPr>
        <w:t xml:space="preserve"> </w:t>
      </w:r>
    </w:p>
    <w:p w14:paraId="64B8480E" w14:textId="4B5D1979" w:rsidR="004A628B" w:rsidRDefault="004A628B" w:rsidP="008205F7">
      <w:pPr>
        <w:pStyle w:val="Default"/>
        <w:rPr>
          <w:color w:val="auto"/>
          <w:sz w:val="22"/>
          <w:szCs w:val="22"/>
          <w:lang w:val="en-US"/>
        </w:rPr>
      </w:pPr>
    </w:p>
    <w:p w14:paraId="697A822E" w14:textId="77777777" w:rsidR="00A73B6B" w:rsidRPr="00A73B6B" w:rsidRDefault="00000000" w:rsidP="00A73B6B">
      <w:pPr>
        <w:widowControl w:val="0"/>
        <w:suppressAutoHyphens/>
        <w:jc w:val="both"/>
        <w:rPr>
          <w:rFonts w:eastAsiaTheme="minorHAnsi" w:cstheme="minorHAnsi"/>
          <w:b/>
          <w:bCs/>
          <w:lang w:val="en-GB"/>
        </w:rPr>
      </w:pPr>
      <w:hyperlink r:id="rId33" w:anchor="%7B%22tabview%22:%5B%22document%22%5D,%22itemid%22:%5B%22001-227736%22%5D%7D">
        <w:r w:rsidR="00A73B6B" w:rsidRPr="00A73B6B">
          <w:rPr>
            <w:rStyle w:val="Hyperlink"/>
            <w:rFonts w:eastAsiaTheme="minorHAnsi" w:cstheme="minorHAnsi"/>
            <w:b/>
            <w:bCs/>
            <w:lang w:val="en-GB"/>
          </w:rPr>
          <w:t>CASE OF IKOTITY AND OTHERS v. HUNGARY</w:t>
        </w:r>
      </w:hyperlink>
    </w:p>
    <w:p w14:paraId="1BE11CBE" w14:textId="77777777" w:rsidR="00A73B6B" w:rsidRPr="00A73B6B" w:rsidRDefault="00A73B6B" w:rsidP="00A73B6B">
      <w:pPr>
        <w:jc w:val="both"/>
        <w:rPr>
          <w:rFonts w:eastAsiaTheme="minorHAnsi" w:cstheme="minorHAnsi"/>
          <w:lang w:val="en-GB"/>
        </w:rPr>
      </w:pPr>
      <w:r w:rsidRPr="00A73B6B">
        <w:rPr>
          <w:rFonts w:eastAsiaTheme="minorHAnsi" w:cstheme="minorHAnsi"/>
          <w:lang w:val="en-GB"/>
        </w:rPr>
        <w:t xml:space="preserve">An opposition party (applicants) was denied permission to use posters during an interpellation by their Parliamentary group. The applicants nevertheless used the posters and were sanctioned for unlawfully doing so. </w:t>
      </w:r>
    </w:p>
    <w:p w14:paraId="26186C6F" w14:textId="77777777" w:rsidR="00A73B6B" w:rsidRPr="00A73B6B" w:rsidRDefault="00A73B6B" w:rsidP="00A73B6B">
      <w:pPr>
        <w:jc w:val="both"/>
        <w:rPr>
          <w:rFonts w:eastAsiaTheme="minorHAnsi" w:cstheme="minorHAnsi"/>
          <w:lang w:val="en-GB"/>
        </w:rPr>
      </w:pPr>
      <w:r w:rsidRPr="00A73B6B">
        <w:rPr>
          <w:rFonts w:eastAsiaTheme="minorHAnsi" w:cstheme="minorHAnsi"/>
          <w:lang w:val="en-GB"/>
        </w:rPr>
        <w:lastRenderedPageBreak/>
        <w:t xml:space="preserve">The ECtHR found that the procedure for granting permission/sanctioning was not arbitrary but was rather necessary and proportionate as they concerned the procedural matter of how speech is delivered in Parliament. The ECtHR also noted the wide margin of appreciation in this area. </w:t>
      </w:r>
    </w:p>
    <w:p w14:paraId="120495C6" w14:textId="410CE72A" w:rsidR="00A73B6B" w:rsidRDefault="00A73B6B" w:rsidP="00A73B6B">
      <w:pPr>
        <w:widowControl w:val="0"/>
        <w:suppressAutoHyphens/>
        <w:jc w:val="both"/>
        <w:rPr>
          <w:rFonts w:eastAsiaTheme="minorHAnsi" w:cstheme="minorHAnsi"/>
          <w:b/>
          <w:bCs/>
          <w:lang w:val="en-GB"/>
        </w:rPr>
      </w:pPr>
      <w:r w:rsidRPr="00A73B6B">
        <w:rPr>
          <w:rFonts w:eastAsiaTheme="minorHAnsi" w:cstheme="minorHAnsi"/>
          <w:b/>
          <w:bCs/>
          <w:lang w:val="en-GB"/>
        </w:rPr>
        <w:t>No violation of Article 10 ECHR</w:t>
      </w:r>
    </w:p>
    <w:p w14:paraId="270D1891" w14:textId="3C743224" w:rsidR="001E309C" w:rsidRDefault="001E309C" w:rsidP="00A73B6B">
      <w:pPr>
        <w:widowControl w:val="0"/>
        <w:suppressAutoHyphens/>
        <w:jc w:val="both"/>
        <w:rPr>
          <w:rFonts w:eastAsiaTheme="minorHAnsi" w:cstheme="minorHAnsi"/>
          <w:b/>
          <w:bCs/>
          <w:lang w:val="en-GB"/>
        </w:rPr>
      </w:pPr>
    </w:p>
    <w:p w14:paraId="334C7B01" w14:textId="77777777" w:rsidR="001E309C" w:rsidRPr="001E309C" w:rsidRDefault="00000000" w:rsidP="001E309C">
      <w:pPr>
        <w:widowControl w:val="0"/>
        <w:suppressAutoHyphens/>
        <w:jc w:val="both"/>
        <w:rPr>
          <w:rFonts w:eastAsiaTheme="minorHAnsi" w:cstheme="minorHAnsi"/>
          <w:lang w:val="en-GB"/>
        </w:rPr>
      </w:pPr>
      <w:hyperlink r:id="rId34" w:anchor="%7B%22tabview%22:%5B%22document%22%5D,%22itemid%22:%5B%22001-226196%22%5D%7D">
        <w:r w:rsidR="001E309C" w:rsidRPr="001E309C">
          <w:rPr>
            <w:rStyle w:val="Hyperlink"/>
            <w:rFonts w:eastAsiaTheme="minorHAnsi" w:cstheme="minorHAnsi"/>
            <w:b/>
            <w:bCs/>
            <w:lang w:val="en-GB"/>
          </w:rPr>
          <w:t>CASE OF INDEX.HU ZRT v. HUNGARY</w:t>
        </w:r>
      </w:hyperlink>
    </w:p>
    <w:p w14:paraId="181792CF" w14:textId="77777777" w:rsidR="001E309C" w:rsidRPr="001E309C" w:rsidRDefault="001E309C" w:rsidP="001E309C">
      <w:pPr>
        <w:jc w:val="both"/>
        <w:rPr>
          <w:rFonts w:eastAsiaTheme="minorHAnsi" w:cstheme="minorHAnsi"/>
          <w:lang w:val="en-GB"/>
        </w:rPr>
      </w:pPr>
      <w:r w:rsidRPr="001E309C">
        <w:rPr>
          <w:rFonts w:eastAsiaTheme="minorHAnsi" w:cstheme="minorHAnsi"/>
          <w:lang w:val="en-GB"/>
        </w:rPr>
        <w:t xml:space="preserve">Hungarian news portal Index.hu </w:t>
      </w:r>
      <w:proofErr w:type="spellStart"/>
      <w:r w:rsidRPr="001E309C">
        <w:rPr>
          <w:rFonts w:eastAsiaTheme="minorHAnsi" w:cstheme="minorHAnsi"/>
          <w:lang w:val="en-GB"/>
        </w:rPr>
        <w:t>Zrt</w:t>
      </w:r>
      <w:proofErr w:type="spellEnd"/>
      <w:r w:rsidRPr="001E309C">
        <w:rPr>
          <w:rFonts w:eastAsiaTheme="minorHAnsi" w:cstheme="minorHAnsi"/>
          <w:lang w:val="en-GB"/>
        </w:rPr>
        <w:t xml:space="preserve"> faced legal action after publishing an article alleging President J.A.'s misconduct during military service. In the piece about President J.A, the news portal emphasised the uncertain nature of the claims and sought the President's response. The ECtHR upheld the media's role as a "public watchdog", emphasised the public's right to scrutinise public figures and criticised the domestic courts for applying objective liability on the media. </w:t>
      </w:r>
    </w:p>
    <w:p w14:paraId="5B67C093" w14:textId="669C3368" w:rsidR="001E309C" w:rsidRPr="001E309C" w:rsidRDefault="001E309C" w:rsidP="001E309C">
      <w:pPr>
        <w:widowControl w:val="0"/>
        <w:suppressAutoHyphens/>
        <w:jc w:val="both"/>
        <w:rPr>
          <w:rFonts w:eastAsiaTheme="minorHAnsi" w:cstheme="minorHAnsi"/>
          <w:lang w:val="en-GB"/>
        </w:rPr>
      </w:pPr>
      <w:r w:rsidRPr="001E309C">
        <w:rPr>
          <w:rFonts w:eastAsiaTheme="minorHAnsi" w:cstheme="minorHAnsi"/>
          <w:b/>
          <w:bCs/>
          <w:lang w:val="en-GB"/>
        </w:rPr>
        <w:t>No violation of Article 10 ECHR</w:t>
      </w:r>
    </w:p>
    <w:p w14:paraId="06EDA4C6" w14:textId="77777777" w:rsidR="001D3DC5" w:rsidRPr="001D3DC5" w:rsidRDefault="00000000" w:rsidP="001D3DC5">
      <w:pPr>
        <w:widowControl w:val="0"/>
        <w:suppressAutoHyphens/>
        <w:jc w:val="both"/>
        <w:rPr>
          <w:rFonts w:eastAsiaTheme="minorHAnsi" w:cstheme="minorHAnsi"/>
          <w:b/>
          <w:bCs/>
          <w:lang w:val="en-GB"/>
        </w:rPr>
      </w:pPr>
      <w:hyperlink r:id="rId35" w:anchor="%7B%22tabview%22:%5B%22document%22%5D,%22itemid%22:%5B%22001-223378%22%5D%7D">
        <w:r w:rsidR="001D3DC5" w:rsidRPr="001D3DC5">
          <w:rPr>
            <w:rStyle w:val="Hyperlink"/>
            <w:rFonts w:eastAsiaTheme="minorHAnsi" w:cstheme="minorHAnsi"/>
            <w:b/>
            <w:bCs/>
            <w:lang w:val="en-GB"/>
          </w:rPr>
          <w:t>CASE OF ERDÉLYI v. HUNGARY</w:t>
        </w:r>
      </w:hyperlink>
    </w:p>
    <w:p w14:paraId="65D6F234" w14:textId="77777777" w:rsidR="001D3DC5" w:rsidRPr="001D3DC5" w:rsidRDefault="001D3DC5" w:rsidP="001D3DC5">
      <w:pPr>
        <w:jc w:val="both"/>
        <w:rPr>
          <w:rFonts w:eastAsiaTheme="minorHAnsi" w:cstheme="minorHAnsi"/>
          <w:lang w:val="en-GB"/>
        </w:rPr>
      </w:pPr>
      <w:r w:rsidRPr="001D3DC5">
        <w:rPr>
          <w:rFonts w:eastAsiaTheme="minorHAnsi" w:cstheme="minorHAnsi"/>
          <w:lang w:val="en-GB"/>
        </w:rPr>
        <w:t xml:space="preserve">The case related to domestic authorities’ denial of a request made by the applicant (investigative journalist) to access and report on living conditions in reception </w:t>
      </w:r>
      <w:proofErr w:type="spellStart"/>
      <w:r w:rsidRPr="001D3DC5">
        <w:rPr>
          <w:rFonts w:eastAsiaTheme="minorHAnsi" w:cstheme="minorHAnsi"/>
          <w:lang w:val="en-GB"/>
        </w:rPr>
        <w:t>centers</w:t>
      </w:r>
      <w:proofErr w:type="spellEnd"/>
      <w:r w:rsidRPr="001D3DC5">
        <w:rPr>
          <w:rFonts w:eastAsiaTheme="minorHAnsi" w:cstheme="minorHAnsi"/>
          <w:lang w:val="en-GB"/>
        </w:rPr>
        <w:t xml:space="preserve"> for asylum seekers. The applicant argued that denial was an interference with journalists’ right to impart information. </w:t>
      </w:r>
    </w:p>
    <w:p w14:paraId="0216B087" w14:textId="77777777" w:rsidR="001D3DC5" w:rsidRPr="001D3DC5" w:rsidRDefault="001D3DC5" w:rsidP="001D3DC5">
      <w:pPr>
        <w:jc w:val="both"/>
        <w:rPr>
          <w:rFonts w:eastAsiaTheme="minorHAnsi" w:cstheme="minorHAnsi"/>
          <w:lang w:val="en-GB"/>
        </w:rPr>
      </w:pPr>
      <w:r w:rsidRPr="001D3DC5">
        <w:rPr>
          <w:rFonts w:eastAsiaTheme="minorHAnsi" w:cstheme="minorHAnsi"/>
          <w:lang w:val="en-GB"/>
        </w:rPr>
        <w:t xml:space="preserve">The ECtHR found that the relevant authority did not balance Article 8 (of those in the reception </w:t>
      </w:r>
      <w:proofErr w:type="spellStart"/>
      <w:r w:rsidRPr="001D3DC5">
        <w:rPr>
          <w:rFonts w:eastAsiaTheme="minorHAnsi" w:cstheme="minorHAnsi"/>
          <w:lang w:val="en-GB"/>
        </w:rPr>
        <w:t>centers</w:t>
      </w:r>
      <w:proofErr w:type="spellEnd"/>
      <w:r w:rsidRPr="001D3DC5">
        <w:rPr>
          <w:rFonts w:eastAsiaTheme="minorHAnsi" w:cstheme="minorHAnsi"/>
          <w:lang w:val="en-GB"/>
        </w:rPr>
        <w:t xml:space="preserve">) and Article 10 (of the journalist) at all, and therefore the interference was not necessary in a democratic society. </w:t>
      </w:r>
    </w:p>
    <w:p w14:paraId="3B7ED348" w14:textId="4EECADDF" w:rsidR="001D3DC5" w:rsidRDefault="001D3DC5" w:rsidP="001D3DC5">
      <w:pPr>
        <w:widowControl w:val="0"/>
        <w:suppressAutoHyphens/>
        <w:jc w:val="both"/>
        <w:rPr>
          <w:rFonts w:eastAsiaTheme="minorHAnsi" w:cstheme="minorHAnsi"/>
          <w:b/>
          <w:bCs/>
          <w:lang w:val="en-GB"/>
        </w:rPr>
      </w:pPr>
      <w:r w:rsidRPr="001D3DC5">
        <w:rPr>
          <w:rFonts w:eastAsiaTheme="minorHAnsi" w:cstheme="minorHAnsi"/>
          <w:b/>
          <w:bCs/>
          <w:lang w:val="en-GB"/>
        </w:rPr>
        <w:t>Violation of Article 10 ECHR</w:t>
      </w:r>
    </w:p>
    <w:p w14:paraId="66216035" w14:textId="77777777" w:rsidR="007E6B0E" w:rsidRDefault="007E6B0E" w:rsidP="001D3DC5">
      <w:pPr>
        <w:widowControl w:val="0"/>
        <w:suppressAutoHyphens/>
        <w:jc w:val="both"/>
        <w:rPr>
          <w:rFonts w:eastAsiaTheme="minorHAnsi" w:cstheme="minorHAnsi"/>
          <w:b/>
          <w:bCs/>
          <w:lang w:val="en-GB"/>
        </w:rPr>
      </w:pPr>
    </w:p>
    <w:p w14:paraId="6372EA86" w14:textId="77777777" w:rsidR="00F97F70" w:rsidRDefault="00F97F70" w:rsidP="001D3DC5">
      <w:pPr>
        <w:widowControl w:val="0"/>
        <w:suppressAutoHyphens/>
        <w:jc w:val="both"/>
        <w:rPr>
          <w:rFonts w:eastAsiaTheme="minorHAnsi" w:cstheme="minorHAnsi"/>
          <w:b/>
          <w:bCs/>
          <w:lang w:val="en-GB"/>
        </w:rPr>
      </w:pPr>
    </w:p>
    <w:p w14:paraId="5C0AC89E" w14:textId="77777777" w:rsidR="00F97F70" w:rsidRDefault="00F97F70" w:rsidP="001D3DC5">
      <w:pPr>
        <w:widowControl w:val="0"/>
        <w:suppressAutoHyphens/>
        <w:jc w:val="both"/>
        <w:rPr>
          <w:rFonts w:eastAsiaTheme="minorHAnsi" w:cstheme="minorHAnsi"/>
          <w:b/>
          <w:bCs/>
          <w:lang w:val="en-GB"/>
        </w:rPr>
      </w:pPr>
    </w:p>
    <w:p w14:paraId="54BDB1C1" w14:textId="77777777" w:rsidR="00F97F70" w:rsidRDefault="00F97F70" w:rsidP="001D3DC5">
      <w:pPr>
        <w:widowControl w:val="0"/>
        <w:suppressAutoHyphens/>
        <w:jc w:val="both"/>
        <w:rPr>
          <w:rFonts w:eastAsiaTheme="minorHAnsi" w:cstheme="minorHAnsi"/>
          <w:b/>
          <w:bCs/>
          <w:lang w:val="en-GB"/>
        </w:rPr>
      </w:pPr>
    </w:p>
    <w:p w14:paraId="7C478437" w14:textId="77777777" w:rsidR="007E6B0E" w:rsidRDefault="007E6B0E" w:rsidP="001D3DC5">
      <w:pPr>
        <w:widowControl w:val="0"/>
        <w:suppressAutoHyphens/>
        <w:jc w:val="both"/>
        <w:rPr>
          <w:rFonts w:eastAsiaTheme="minorHAnsi" w:cstheme="minorHAnsi"/>
          <w:b/>
          <w:bCs/>
          <w:lang w:val="en-GB"/>
        </w:rPr>
      </w:pPr>
    </w:p>
    <w:p w14:paraId="73D3DB40" w14:textId="0C94D860" w:rsidR="007E6B0E" w:rsidRPr="007E6B0E" w:rsidRDefault="007E6B0E" w:rsidP="001D3DC5">
      <w:pPr>
        <w:widowControl w:val="0"/>
        <w:suppressAutoHyphens/>
        <w:jc w:val="both"/>
        <w:rPr>
          <w:rFonts w:eastAsiaTheme="minorHAnsi" w:cstheme="minorHAnsi"/>
          <w:lang w:val="en-GB"/>
        </w:rPr>
      </w:pPr>
      <w:r w:rsidRPr="007E6B0E">
        <w:rPr>
          <w:lang w:val="en-GB"/>
        </w:rPr>
        <w:t>Commissioner for Human Rights</w:t>
      </w:r>
    </w:p>
    <w:p w14:paraId="50B46326" w14:textId="77777777" w:rsidR="001E309C" w:rsidRPr="00A73B6B" w:rsidRDefault="001E309C" w:rsidP="00A73B6B">
      <w:pPr>
        <w:widowControl w:val="0"/>
        <w:suppressAutoHyphens/>
        <w:jc w:val="both"/>
        <w:rPr>
          <w:rFonts w:eastAsiaTheme="minorHAnsi" w:cstheme="minorHAnsi"/>
          <w:lang w:val="en-GB"/>
        </w:rPr>
      </w:pPr>
    </w:p>
    <w:p w14:paraId="58467A59" w14:textId="77777777" w:rsidR="007E6B0E" w:rsidRDefault="00000000" w:rsidP="007E6B0E">
      <w:pPr>
        <w:rPr>
          <w:bCs/>
          <w:iCs/>
          <w:lang w:val="en-GB"/>
        </w:rPr>
      </w:pPr>
      <w:hyperlink r:id="rId36" w:history="1">
        <w:r w:rsidR="007E6B0E" w:rsidRPr="00247D61">
          <w:rPr>
            <w:rStyle w:val="Hyperlink"/>
            <w:rFonts w:cs="Calibri"/>
            <w:bCs/>
            <w:iCs/>
            <w:lang w:val="en-GB"/>
          </w:rPr>
          <w:t>Statement</w:t>
        </w:r>
      </w:hyperlink>
      <w:r w:rsidR="007E6B0E">
        <w:rPr>
          <w:bCs/>
          <w:iCs/>
          <w:lang w:val="en-GB"/>
        </w:rPr>
        <w:t xml:space="preserve"> </w:t>
      </w:r>
      <w:r w:rsidR="007E6B0E" w:rsidRPr="00C43A52">
        <w:rPr>
          <w:bCs/>
          <w:iCs/>
          <w:lang w:val="en-GB"/>
        </w:rPr>
        <w:t>from the Council of Europe Commissioner for Human Rights</w:t>
      </w:r>
      <w:r w:rsidR="007E6B0E">
        <w:rPr>
          <w:bCs/>
          <w:iCs/>
          <w:lang w:val="en-GB"/>
        </w:rPr>
        <w:t xml:space="preserve">, calling on the authorities to abandon the proposal for a </w:t>
      </w:r>
      <w:r w:rsidR="007E6B0E" w:rsidRPr="000B6743">
        <w:rPr>
          <w:bCs/>
          <w:iCs/>
          <w:lang w:val="en-GB"/>
        </w:rPr>
        <w:t>“defence of national sovereignty” package</w:t>
      </w:r>
      <w:r w:rsidR="007E6B0E">
        <w:rPr>
          <w:bCs/>
          <w:iCs/>
          <w:lang w:val="en-GB"/>
        </w:rPr>
        <w:t>, published on 27 November 2023.</w:t>
      </w:r>
    </w:p>
    <w:p w14:paraId="4DA705EE" w14:textId="77777777" w:rsidR="00A73B6B" w:rsidRPr="00A73B6B" w:rsidRDefault="00A73B6B" w:rsidP="008205F7">
      <w:pPr>
        <w:pStyle w:val="Default"/>
        <w:rPr>
          <w:color w:val="auto"/>
          <w:sz w:val="22"/>
          <w:szCs w:val="22"/>
          <w:lang w:val="en-GB"/>
        </w:rPr>
      </w:pPr>
    </w:p>
    <w:p w14:paraId="05AECE19" w14:textId="216D7598" w:rsidR="004A628B" w:rsidRDefault="004A628B" w:rsidP="00977D1D">
      <w:pPr>
        <w:pStyle w:val="Heading1"/>
        <w:rPr>
          <w:lang w:val="en-US"/>
        </w:rPr>
      </w:pPr>
      <w:bookmarkStart w:id="5"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
      <w:r w:rsidRPr="00546B57">
        <w:rPr>
          <w:lang w:val="en-US"/>
        </w:rPr>
        <w:t xml:space="preserve"> </w:t>
      </w:r>
    </w:p>
    <w:p w14:paraId="1E4A1385" w14:textId="1ADB9888" w:rsidR="00FA75C2" w:rsidRDefault="00FA75C2" w:rsidP="00FA75C2">
      <w:pPr>
        <w:rPr>
          <w:lang w:val="en-US"/>
        </w:rPr>
      </w:pPr>
    </w:p>
    <w:p w14:paraId="252A6B39" w14:textId="01315E0B" w:rsidR="003258A9" w:rsidRDefault="00F97F70" w:rsidP="004A628B">
      <w:pPr>
        <w:rPr>
          <w:lang w:val="en-US"/>
        </w:rPr>
      </w:pPr>
      <w:r>
        <w:rPr>
          <w:lang w:val="en-GB"/>
        </w:rPr>
        <w:t>N/A</w:t>
      </w:r>
    </w:p>
    <w:p w14:paraId="1C8A142A" w14:textId="52A80804" w:rsidR="00E538B9" w:rsidRPr="00C36A7E" w:rsidRDefault="00E538B9">
      <w:pPr>
        <w:rPr>
          <w:rFonts w:asciiTheme="majorHAnsi" w:hAnsiTheme="majorHAnsi" w:cstheme="majorHAnsi"/>
          <w:color w:val="F49100"/>
          <w:u w:val="single"/>
          <w:lang w:val="en-GB"/>
        </w:rPr>
      </w:pPr>
    </w:p>
    <w:sectPr w:rsidR="00E538B9" w:rsidRPr="00C36A7E" w:rsidSect="007B3B82">
      <w:footerReference w:type="default" r:id="rId37"/>
      <w:footerReference w:type="first" r:id="rId3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55E96" w14:textId="77777777" w:rsidR="0035608B" w:rsidRDefault="0035608B" w:rsidP="00857FF1">
      <w:r>
        <w:separator/>
      </w:r>
    </w:p>
  </w:endnote>
  <w:endnote w:type="continuationSeparator" w:id="0">
    <w:p w14:paraId="30C4693C" w14:textId="77777777" w:rsidR="0035608B" w:rsidRDefault="0035608B"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8ED54" w14:textId="77777777" w:rsidR="0035608B" w:rsidRDefault="0035608B" w:rsidP="00857FF1">
      <w:r>
        <w:separator/>
      </w:r>
    </w:p>
  </w:footnote>
  <w:footnote w:type="continuationSeparator" w:id="0">
    <w:p w14:paraId="02E6CDCC" w14:textId="77777777" w:rsidR="0035608B" w:rsidRDefault="0035608B" w:rsidP="00857FF1">
      <w:r>
        <w:continuationSeparator/>
      </w:r>
    </w:p>
  </w:footnote>
  <w:footnote w:id="1">
    <w:p w14:paraId="33B7B270" w14:textId="77777777" w:rsidR="000B4456" w:rsidRPr="002219FC" w:rsidRDefault="000B4456" w:rsidP="000B4456">
      <w:pPr>
        <w:pStyle w:val="FootnoteText1"/>
        <w:jc w:val="both"/>
        <w:rPr>
          <w:rFonts w:ascii="Arial" w:hAnsi="Arial" w:cs="Arial"/>
          <w:sz w:val="18"/>
          <w:szCs w:val="18"/>
          <w:lang w:val="en-GB"/>
        </w:rPr>
      </w:pPr>
      <w:r w:rsidRPr="002219FC">
        <w:rPr>
          <w:rStyle w:val="FootnoteReference"/>
          <w:rFonts w:ascii="Arial" w:hAnsi="Arial" w:cs="Arial"/>
          <w:sz w:val="18"/>
          <w:szCs w:val="18"/>
        </w:rPr>
        <w:footnoteRef/>
      </w:r>
      <w:r w:rsidRPr="002219FC">
        <w:rPr>
          <w:rFonts w:ascii="Arial" w:hAnsi="Arial" w:cs="Arial"/>
          <w:sz w:val="18"/>
          <w:szCs w:val="18"/>
          <w:lang w:val="en-GB"/>
        </w:rPr>
        <w:t xml:space="preserve"> An opinion of the Venice Commission on the legislative package on “the defence of national sovereignty” was requested by the Monitoring Committee on 4 December 2023.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A7B4E"/>
    <w:multiLevelType w:val="hybridMultilevel"/>
    <w:tmpl w:val="824AD346"/>
    <w:lvl w:ilvl="0" w:tplc="E3EC5204">
      <w:start w:val="1"/>
      <w:numFmt w:val="bullet"/>
      <w:lvlText w:val=""/>
      <w:lvlJc w:val="left"/>
      <w:pPr>
        <w:ind w:left="720" w:hanging="360"/>
      </w:pPr>
      <w:rPr>
        <w:rFonts w:ascii="Symbol" w:hAnsi="Symbol" w:hint="default"/>
      </w:rPr>
    </w:lvl>
    <w:lvl w:ilvl="1" w:tplc="E8CA4C9A">
      <w:start w:val="1"/>
      <w:numFmt w:val="bullet"/>
      <w:lvlText w:val="o"/>
      <w:lvlJc w:val="left"/>
      <w:pPr>
        <w:ind w:left="1440" w:hanging="360"/>
      </w:pPr>
      <w:rPr>
        <w:rFonts w:ascii="Courier New" w:hAnsi="Courier New" w:hint="default"/>
      </w:rPr>
    </w:lvl>
    <w:lvl w:ilvl="2" w:tplc="0B2AA39E">
      <w:start w:val="1"/>
      <w:numFmt w:val="bullet"/>
      <w:lvlText w:val=""/>
      <w:lvlJc w:val="left"/>
      <w:pPr>
        <w:ind w:left="2160" w:hanging="360"/>
      </w:pPr>
      <w:rPr>
        <w:rFonts w:ascii="Wingdings" w:hAnsi="Wingdings" w:hint="default"/>
      </w:rPr>
    </w:lvl>
    <w:lvl w:ilvl="3" w:tplc="701A3696">
      <w:start w:val="1"/>
      <w:numFmt w:val="bullet"/>
      <w:lvlText w:val=""/>
      <w:lvlJc w:val="left"/>
      <w:pPr>
        <w:ind w:left="2880" w:hanging="360"/>
      </w:pPr>
      <w:rPr>
        <w:rFonts w:ascii="Symbol" w:hAnsi="Symbol" w:hint="default"/>
      </w:rPr>
    </w:lvl>
    <w:lvl w:ilvl="4" w:tplc="8626FF7A">
      <w:start w:val="1"/>
      <w:numFmt w:val="bullet"/>
      <w:lvlText w:val="o"/>
      <w:lvlJc w:val="left"/>
      <w:pPr>
        <w:ind w:left="3600" w:hanging="360"/>
      </w:pPr>
      <w:rPr>
        <w:rFonts w:ascii="Courier New" w:hAnsi="Courier New" w:hint="default"/>
      </w:rPr>
    </w:lvl>
    <w:lvl w:ilvl="5" w:tplc="A2B452BE">
      <w:start w:val="1"/>
      <w:numFmt w:val="bullet"/>
      <w:lvlText w:val=""/>
      <w:lvlJc w:val="left"/>
      <w:pPr>
        <w:ind w:left="4320" w:hanging="360"/>
      </w:pPr>
      <w:rPr>
        <w:rFonts w:ascii="Wingdings" w:hAnsi="Wingdings" w:hint="default"/>
      </w:rPr>
    </w:lvl>
    <w:lvl w:ilvl="6" w:tplc="C19ACACC">
      <w:start w:val="1"/>
      <w:numFmt w:val="bullet"/>
      <w:lvlText w:val=""/>
      <w:lvlJc w:val="left"/>
      <w:pPr>
        <w:ind w:left="5040" w:hanging="360"/>
      </w:pPr>
      <w:rPr>
        <w:rFonts w:ascii="Symbol" w:hAnsi="Symbol" w:hint="default"/>
      </w:rPr>
    </w:lvl>
    <w:lvl w:ilvl="7" w:tplc="85243D6E">
      <w:start w:val="1"/>
      <w:numFmt w:val="bullet"/>
      <w:lvlText w:val="o"/>
      <w:lvlJc w:val="left"/>
      <w:pPr>
        <w:ind w:left="5760" w:hanging="360"/>
      </w:pPr>
      <w:rPr>
        <w:rFonts w:ascii="Courier New" w:hAnsi="Courier New" w:hint="default"/>
      </w:rPr>
    </w:lvl>
    <w:lvl w:ilvl="8" w:tplc="054EBC22">
      <w:start w:val="1"/>
      <w:numFmt w:val="bullet"/>
      <w:lvlText w:val=""/>
      <w:lvlJc w:val="left"/>
      <w:pPr>
        <w:ind w:left="6480" w:hanging="360"/>
      </w:pPr>
      <w:rPr>
        <w:rFonts w:ascii="Wingdings" w:hAnsi="Wingdings" w:hint="default"/>
      </w:rPr>
    </w:lvl>
  </w:abstractNum>
  <w:abstractNum w:abstractNumId="7"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F88D804"/>
    <w:multiLevelType w:val="hybridMultilevel"/>
    <w:tmpl w:val="5CE8CE8E"/>
    <w:lvl w:ilvl="0" w:tplc="9F20242E">
      <w:start w:val="1"/>
      <w:numFmt w:val="bullet"/>
      <w:lvlText w:val=""/>
      <w:lvlJc w:val="left"/>
      <w:pPr>
        <w:ind w:left="720" w:hanging="360"/>
      </w:pPr>
      <w:rPr>
        <w:rFonts w:ascii="Symbol" w:hAnsi="Symbol" w:hint="default"/>
      </w:rPr>
    </w:lvl>
    <w:lvl w:ilvl="1" w:tplc="5F20C344">
      <w:start w:val="1"/>
      <w:numFmt w:val="bullet"/>
      <w:lvlText w:val="o"/>
      <w:lvlJc w:val="left"/>
      <w:pPr>
        <w:ind w:left="1440" w:hanging="360"/>
      </w:pPr>
      <w:rPr>
        <w:rFonts w:ascii="Courier New" w:hAnsi="Courier New" w:hint="default"/>
      </w:rPr>
    </w:lvl>
    <w:lvl w:ilvl="2" w:tplc="79540910">
      <w:start w:val="1"/>
      <w:numFmt w:val="bullet"/>
      <w:lvlText w:val=""/>
      <w:lvlJc w:val="left"/>
      <w:pPr>
        <w:ind w:left="2160" w:hanging="360"/>
      </w:pPr>
      <w:rPr>
        <w:rFonts w:ascii="Wingdings" w:hAnsi="Wingdings" w:hint="default"/>
      </w:rPr>
    </w:lvl>
    <w:lvl w:ilvl="3" w:tplc="08FC06CC">
      <w:start w:val="1"/>
      <w:numFmt w:val="bullet"/>
      <w:lvlText w:val=""/>
      <w:lvlJc w:val="left"/>
      <w:pPr>
        <w:ind w:left="2880" w:hanging="360"/>
      </w:pPr>
      <w:rPr>
        <w:rFonts w:ascii="Symbol" w:hAnsi="Symbol" w:hint="default"/>
      </w:rPr>
    </w:lvl>
    <w:lvl w:ilvl="4" w:tplc="31725F4A">
      <w:start w:val="1"/>
      <w:numFmt w:val="bullet"/>
      <w:lvlText w:val="o"/>
      <w:lvlJc w:val="left"/>
      <w:pPr>
        <w:ind w:left="3600" w:hanging="360"/>
      </w:pPr>
      <w:rPr>
        <w:rFonts w:ascii="Courier New" w:hAnsi="Courier New" w:hint="default"/>
      </w:rPr>
    </w:lvl>
    <w:lvl w:ilvl="5" w:tplc="14F8DF36">
      <w:start w:val="1"/>
      <w:numFmt w:val="bullet"/>
      <w:lvlText w:val=""/>
      <w:lvlJc w:val="left"/>
      <w:pPr>
        <w:ind w:left="4320" w:hanging="360"/>
      </w:pPr>
      <w:rPr>
        <w:rFonts w:ascii="Wingdings" w:hAnsi="Wingdings" w:hint="default"/>
      </w:rPr>
    </w:lvl>
    <w:lvl w:ilvl="6" w:tplc="E04A1D56">
      <w:start w:val="1"/>
      <w:numFmt w:val="bullet"/>
      <w:lvlText w:val=""/>
      <w:lvlJc w:val="left"/>
      <w:pPr>
        <w:ind w:left="5040" w:hanging="360"/>
      </w:pPr>
      <w:rPr>
        <w:rFonts w:ascii="Symbol" w:hAnsi="Symbol" w:hint="default"/>
      </w:rPr>
    </w:lvl>
    <w:lvl w:ilvl="7" w:tplc="BCC452D8">
      <w:start w:val="1"/>
      <w:numFmt w:val="bullet"/>
      <w:lvlText w:val="o"/>
      <w:lvlJc w:val="left"/>
      <w:pPr>
        <w:ind w:left="5760" w:hanging="360"/>
      </w:pPr>
      <w:rPr>
        <w:rFonts w:ascii="Courier New" w:hAnsi="Courier New" w:hint="default"/>
      </w:rPr>
    </w:lvl>
    <w:lvl w:ilvl="8" w:tplc="BDE23FE8">
      <w:start w:val="1"/>
      <w:numFmt w:val="bullet"/>
      <w:lvlText w:val=""/>
      <w:lvlJc w:val="left"/>
      <w:pPr>
        <w:ind w:left="6480" w:hanging="360"/>
      </w:pPr>
      <w:rPr>
        <w:rFonts w:ascii="Wingdings" w:hAnsi="Wingdings" w:hint="default"/>
      </w:rPr>
    </w:lvl>
  </w:abstractNum>
  <w:abstractNum w:abstractNumId="10" w15:restartNumberingAfterBreak="0">
    <w:nsid w:val="62495142"/>
    <w:multiLevelType w:val="hybridMultilevel"/>
    <w:tmpl w:val="F49EFEF6"/>
    <w:lvl w:ilvl="0" w:tplc="04090005">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1" w15:restartNumberingAfterBreak="0">
    <w:nsid w:val="66645B48"/>
    <w:multiLevelType w:val="hybridMultilevel"/>
    <w:tmpl w:val="9AAC2182"/>
    <w:lvl w:ilvl="0" w:tplc="B956AA9A">
      <w:start w:val="1"/>
      <w:numFmt w:val="bullet"/>
      <w:lvlText w:val=""/>
      <w:lvlJc w:val="left"/>
      <w:pPr>
        <w:ind w:left="720" w:hanging="360"/>
      </w:pPr>
      <w:rPr>
        <w:rFonts w:ascii="Symbol" w:hAnsi="Symbol" w:hint="default"/>
      </w:rPr>
    </w:lvl>
    <w:lvl w:ilvl="1" w:tplc="878EE344">
      <w:start w:val="1"/>
      <w:numFmt w:val="bullet"/>
      <w:lvlText w:val="o"/>
      <w:lvlJc w:val="left"/>
      <w:pPr>
        <w:ind w:left="1440" w:hanging="360"/>
      </w:pPr>
      <w:rPr>
        <w:rFonts w:ascii="Courier New" w:hAnsi="Courier New" w:hint="default"/>
      </w:rPr>
    </w:lvl>
    <w:lvl w:ilvl="2" w:tplc="2F86A768">
      <w:start w:val="1"/>
      <w:numFmt w:val="bullet"/>
      <w:lvlText w:val=""/>
      <w:lvlJc w:val="left"/>
      <w:pPr>
        <w:ind w:left="2160" w:hanging="360"/>
      </w:pPr>
      <w:rPr>
        <w:rFonts w:ascii="Wingdings" w:hAnsi="Wingdings" w:hint="default"/>
      </w:rPr>
    </w:lvl>
    <w:lvl w:ilvl="3" w:tplc="ED78A416">
      <w:start w:val="1"/>
      <w:numFmt w:val="bullet"/>
      <w:lvlText w:val=""/>
      <w:lvlJc w:val="left"/>
      <w:pPr>
        <w:ind w:left="2880" w:hanging="360"/>
      </w:pPr>
      <w:rPr>
        <w:rFonts w:ascii="Symbol" w:hAnsi="Symbol" w:hint="default"/>
      </w:rPr>
    </w:lvl>
    <w:lvl w:ilvl="4" w:tplc="7D3279BC">
      <w:start w:val="1"/>
      <w:numFmt w:val="bullet"/>
      <w:lvlText w:val="o"/>
      <w:lvlJc w:val="left"/>
      <w:pPr>
        <w:ind w:left="3600" w:hanging="360"/>
      </w:pPr>
      <w:rPr>
        <w:rFonts w:ascii="Courier New" w:hAnsi="Courier New" w:hint="default"/>
      </w:rPr>
    </w:lvl>
    <w:lvl w:ilvl="5" w:tplc="967EF100">
      <w:start w:val="1"/>
      <w:numFmt w:val="bullet"/>
      <w:lvlText w:val=""/>
      <w:lvlJc w:val="left"/>
      <w:pPr>
        <w:ind w:left="4320" w:hanging="360"/>
      </w:pPr>
      <w:rPr>
        <w:rFonts w:ascii="Wingdings" w:hAnsi="Wingdings" w:hint="default"/>
      </w:rPr>
    </w:lvl>
    <w:lvl w:ilvl="6" w:tplc="30662A36">
      <w:start w:val="1"/>
      <w:numFmt w:val="bullet"/>
      <w:lvlText w:val=""/>
      <w:lvlJc w:val="left"/>
      <w:pPr>
        <w:ind w:left="5040" w:hanging="360"/>
      </w:pPr>
      <w:rPr>
        <w:rFonts w:ascii="Symbol" w:hAnsi="Symbol" w:hint="default"/>
      </w:rPr>
    </w:lvl>
    <w:lvl w:ilvl="7" w:tplc="AB58F3BE">
      <w:start w:val="1"/>
      <w:numFmt w:val="bullet"/>
      <w:lvlText w:val="o"/>
      <w:lvlJc w:val="left"/>
      <w:pPr>
        <w:ind w:left="5760" w:hanging="360"/>
      </w:pPr>
      <w:rPr>
        <w:rFonts w:ascii="Courier New" w:hAnsi="Courier New" w:hint="default"/>
      </w:rPr>
    </w:lvl>
    <w:lvl w:ilvl="8" w:tplc="8640C200">
      <w:start w:val="1"/>
      <w:numFmt w:val="bullet"/>
      <w:lvlText w:val=""/>
      <w:lvlJc w:val="left"/>
      <w:pPr>
        <w:ind w:left="6480" w:hanging="360"/>
      </w:pPr>
      <w:rPr>
        <w:rFonts w:ascii="Wingdings" w:hAnsi="Wingdings" w:hint="default"/>
      </w:rPr>
    </w:lvl>
  </w:abstractNum>
  <w:num w:numId="1" w16cid:durableId="6495951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9045669">
    <w:abstractNumId w:val="3"/>
  </w:num>
  <w:num w:numId="3" w16cid:durableId="362825068">
    <w:abstractNumId w:val="4"/>
  </w:num>
  <w:num w:numId="4" w16cid:durableId="394743630">
    <w:abstractNumId w:val="10"/>
  </w:num>
  <w:num w:numId="5" w16cid:durableId="809177184">
    <w:abstractNumId w:val="8"/>
  </w:num>
  <w:num w:numId="6" w16cid:durableId="1603150543">
    <w:abstractNumId w:val="5"/>
  </w:num>
  <w:num w:numId="7" w16cid:durableId="1261642044">
    <w:abstractNumId w:val="5"/>
  </w:num>
  <w:num w:numId="8" w16cid:durableId="327290087">
    <w:abstractNumId w:val="2"/>
  </w:num>
  <w:num w:numId="9" w16cid:durableId="99567652">
    <w:abstractNumId w:val="7"/>
  </w:num>
  <w:num w:numId="10" w16cid:durableId="528110137">
    <w:abstractNumId w:val="6"/>
  </w:num>
  <w:num w:numId="11" w16cid:durableId="542988043">
    <w:abstractNumId w:val="0"/>
  </w:num>
  <w:num w:numId="12" w16cid:durableId="885524563">
    <w:abstractNumId w:val="11"/>
  </w:num>
  <w:num w:numId="13" w16cid:durableId="8101025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661C"/>
    <w:rsid w:val="0001590C"/>
    <w:rsid w:val="0001655F"/>
    <w:rsid w:val="00021731"/>
    <w:rsid w:val="0002205E"/>
    <w:rsid w:val="0005251F"/>
    <w:rsid w:val="00057AA5"/>
    <w:rsid w:val="000802EF"/>
    <w:rsid w:val="00080451"/>
    <w:rsid w:val="000825DD"/>
    <w:rsid w:val="00086872"/>
    <w:rsid w:val="000B0A49"/>
    <w:rsid w:val="000B4456"/>
    <w:rsid w:val="000C2AA8"/>
    <w:rsid w:val="000D6794"/>
    <w:rsid w:val="000E51C1"/>
    <w:rsid w:val="000E6FEE"/>
    <w:rsid w:val="000E7BE0"/>
    <w:rsid w:val="000F4B69"/>
    <w:rsid w:val="001055F4"/>
    <w:rsid w:val="00114267"/>
    <w:rsid w:val="00121212"/>
    <w:rsid w:val="00122708"/>
    <w:rsid w:val="001257E8"/>
    <w:rsid w:val="0014231B"/>
    <w:rsid w:val="00152FC1"/>
    <w:rsid w:val="00167680"/>
    <w:rsid w:val="00172847"/>
    <w:rsid w:val="00186C1F"/>
    <w:rsid w:val="00191670"/>
    <w:rsid w:val="00194CC7"/>
    <w:rsid w:val="001A0B36"/>
    <w:rsid w:val="001A7675"/>
    <w:rsid w:val="001B0028"/>
    <w:rsid w:val="001B2474"/>
    <w:rsid w:val="001B2949"/>
    <w:rsid w:val="001B3C22"/>
    <w:rsid w:val="001C21CE"/>
    <w:rsid w:val="001C6643"/>
    <w:rsid w:val="001C77D8"/>
    <w:rsid w:val="001D0AE0"/>
    <w:rsid w:val="001D3DC5"/>
    <w:rsid w:val="001D69B7"/>
    <w:rsid w:val="001E309C"/>
    <w:rsid w:val="001E6658"/>
    <w:rsid w:val="001F3BD0"/>
    <w:rsid w:val="002027E7"/>
    <w:rsid w:val="0021059A"/>
    <w:rsid w:val="00211FF3"/>
    <w:rsid w:val="002122DE"/>
    <w:rsid w:val="00254902"/>
    <w:rsid w:val="00282225"/>
    <w:rsid w:val="002934C4"/>
    <w:rsid w:val="002B2FF2"/>
    <w:rsid w:val="002B34F6"/>
    <w:rsid w:val="002B5DA7"/>
    <w:rsid w:val="002C5754"/>
    <w:rsid w:val="002C68B0"/>
    <w:rsid w:val="00300A0D"/>
    <w:rsid w:val="00303256"/>
    <w:rsid w:val="00315356"/>
    <w:rsid w:val="003258A9"/>
    <w:rsid w:val="00351BFE"/>
    <w:rsid w:val="0035486E"/>
    <w:rsid w:val="0035608B"/>
    <w:rsid w:val="00357DEB"/>
    <w:rsid w:val="00372B8F"/>
    <w:rsid w:val="003B4F52"/>
    <w:rsid w:val="003B55CB"/>
    <w:rsid w:val="003E44ED"/>
    <w:rsid w:val="003E67CF"/>
    <w:rsid w:val="003F0C2C"/>
    <w:rsid w:val="004227BE"/>
    <w:rsid w:val="0042610C"/>
    <w:rsid w:val="00442A39"/>
    <w:rsid w:val="00453102"/>
    <w:rsid w:val="00463AF0"/>
    <w:rsid w:val="004A628B"/>
    <w:rsid w:val="004C1DD0"/>
    <w:rsid w:val="004D6EFB"/>
    <w:rsid w:val="005035C4"/>
    <w:rsid w:val="00503C29"/>
    <w:rsid w:val="00503FF6"/>
    <w:rsid w:val="005234B0"/>
    <w:rsid w:val="005236B9"/>
    <w:rsid w:val="0053692C"/>
    <w:rsid w:val="00544475"/>
    <w:rsid w:val="00547E49"/>
    <w:rsid w:val="0057123C"/>
    <w:rsid w:val="005728A3"/>
    <w:rsid w:val="005731CA"/>
    <w:rsid w:val="00585EB0"/>
    <w:rsid w:val="0059543C"/>
    <w:rsid w:val="00596BAF"/>
    <w:rsid w:val="005A5366"/>
    <w:rsid w:val="005D4AD7"/>
    <w:rsid w:val="005E4874"/>
    <w:rsid w:val="00605EA8"/>
    <w:rsid w:val="00614646"/>
    <w:rsid w:val="00617D3C"/>
    <w:rsid w:val="00637F48"/>
    <w:rsid w:val="006472DE"/>
    <w:rsid w:val="0065310F"/>
    <w:rsid w:val="00680789"/>
    <w:rsid w:val="006B6601"/>
    <w:rsid w:val="006C1269"/>
    <w:rsid w:val="006D3771"/>
    <w:rsid w:val="007011A1"/>
    <w:rsid w:val="007054BE"/>
    <w:rsid w:val="00732331"/>
    <w:rsid w:val="00734D8B"/>
    <w:rsid w:val="00742FA8"/>
    <w:rsid w:val="00757DFF"/>
    <w:rsid w:val="007833E1"/>
    <w:rsid w:val="007959C1"/>
    <w:rsid w:val="007B3B82"/>
    <w:rsid w:val="007C0CD6"/>
    <w:rsid w:val="007D198D"/>
    <w:rsid w:val="007D5E97"/>
    <w:rsid w:val="007E6B0E"/>
    <w:rsid w:val="007F6FF2"/>
    <w:rsid w:val="007F7CF6"/>
    <w:rsid w:val="008046B7"/>
    <w:rsid w:val="008205F7"/>
    <w:rsid w:val="00833496"/>
    <w:rsid w:val="0084345E"/>
    <w:rsid w:val="00857FF1"/>
    <w:rsid w:val="00861B85"/>
    <w:rsid w:val="0086541A"/>
    <w:rsid w:val="00880009"/>
    <w:rsid w:val="008825BC"/>
    <w:rsid w:val="00887319"/>
    <w:rsid w:val="0089382D"/>
    <w:rsid w:val="00893E82"/>
    <w:rsid w:val="0089719F"/>
    <w:rsid w:val="008D53C2"/>
    <w:rsid w:val="008E22D1"/>
    <w:rsid w:val="008E6A8D"/>
    <w:rsid w:val="008F60F6"/>
    <w:rsid w:val="00906A6E"/>
    <w:rsid w:val="00906B87"/>
    <w:rsid w:val="009320B5"/>
    <w:rsid w:val="0095251E"/>
    <w:rsid w:val="00955C7A"/>
    <w:rsid w:val="00972C74"/>
    <w:rsid w:val="00977D1D"/>
    <w:rsid w:val="00981B6C"/>
    <w:rsid w:val="00990E74"/>
    <w:rsid w:val="009A0302"/>
    <w:rsid w:val="009A0775"/>
    <w:rsid w:val="009A173A"/>
    <w:rsid w:val="009B5003"/>
    <w:rsid w:val="009D5FD8"/>
    <w:rsid w:val="009D68A7"/>
    <w:rsid w:val="009E4C05"/>
    <w:rsid w:val="00A144EC"/>
    <w:rsid w:val="00A37398"/>
    <w:rsid w:val="00A52988"/>
    <w:rsid w:val="00A54D19"/>
    <w:rsid w:val="00A60945"/>
    <w:rsid w:val="00A72077"/>
    <w:rsid w:val="00A73B6B"/>
    <w:rsid w:val="00A756BC"/>
    <w:rsid w:val="00A80267"/>
    <w:rsid w:val="00A86628"/>
    <w:rsid w:val="00A963AC"/>
    <w:rsid w:val="00AC18D4"/>
    <w:rsid w:val="00AC46F2"/>
    <w:rsid w:val="00AC541D"/>
    <w:rsid w:val="00AD0B2F"/>
    <w:rsid w:val="00AD18FB"/>
    <w:rsid w:val="00AD3544"/>
    <w:rsid w:val="00AD5BD0"/>
    <w:rsid w:val="00AE13FD"/>
    <w:rsid w:val="00AE6A50"/>
    <w:rsid w:val="00B14978"/>
    <w:rsid w:val="00B35012"/>
    <w:rsid w:val="00B36582"/>
    <w:rsid w:val="00B727AA"/>
    <w:rsid w:val="00B75C3A"/>
    <w:rsid w:val="00B779FF"/>
    <w:rsid w:val="00B807B6"/>
    <w:rsid w:val="00B85687"/>
    <w:rsid w:val="00B90648"/>
    <w:rsid w:val="00BD1AC4"/>
    <w:rsid w:val="00BD26EA"/>
    <w:rsid w:val="00BE734D"/>
    <w:rsid w:val="00BF5595"/>
    <w:rsid w:val="00C160B8"/>
    <w:rsid w:val="00C167FE"/>
    <w:rsid w:val="00C22A09"/>
    <w:rsid w:val="00C31FD7"/>
    <w:rsid w:val="00C36A7E"/>
    <w:rsid w:val="00C45527"/>
    <w:rsid w:val="00C472AA"/>
    <w:rsid w:val="00C52C5B"/>
    <w:rsid w:val="00C52CD2"/>
    <w:rsid w:val="00C75135"/>
    <w:rsid w:val="00C837EA"/>
    <w:rsid w:val="00C86F4B"/>
    <w:rsid w:val="00C97EE0"/>
    <w:rsid w:val="00CE56CF"/>
    <w:rsid w:val="00CE7ECE"/>
    <w:rsid w:val="00CF1C6F"/>
    <w:rsid w:val="00D0361A"/>
    <w:rsid w:val="00D06DC1"/>
    <w:rsid w:val="00D20872"/>
    <w:rsid w:val="00D3281A"/>
    <w:rsid w:val="00D37016"/>
    <w:rsid w:val="00D5427E"/>
    <w:rsid w:val="00D84653"/>
    <w:rsid w:val="00D85F30"/>
    <w:rsid w:val="00DB013C"/>
    <w:rsid w:val="00DC09FB"/>
    <w:rsid w:val="00DC7320"/>
    <w:rsid w:val="00DF161C"/>
    <w:rsid w:val="00DF5C18"/>
    <w:rsid w:val="00DF7C08"/>
    <w:rsid w:val="00E02E99"/>
    <w:rsid w:val="00E147EE"/>
    <w:rsid w:val="00E52D59"/>
    <w:rsid w:val="00E538B9"/>
    <w:rsid w:val="00E615CF"/>
    <w:rsid w:val="00E636CC"/>
    <w:rsid w:val="00E9177F"/>
    <w:rsid w:val="00E94800"/>
    <w:rsid w:val="00EA1FA1"/>
    <w:rsid w:val="00EA4E1D"/>
    <w:rsid w:val="00EB3485"/>
    <w:rsid w:val="00EC16AE"/>
    <w:rsid w:val="00F06890"/>
    <w:rsid w:val="00F070DD"/>
    <w:rsid w:val="00F2798A"/>
    <w:rsid w:val="00F3151D"/>
    <w:rsid w:val="00F324FD"/>
    <w:rsid w:val="00F32B1B"/>
    <w:rsid w:val="00F459D2"/>
    <w:rsid w:val="00F45AE2"/>
    <w:rsid w:val="00F6410A"/>
    <w:rsid w:val="00F71177"/>
    <w:rsid w:val="00F847EB"/>
    <w:rsid w:val="00F91B36"/>
    <w:rsid w:val="00F97F70"/>
    <w:rsid w:val="00FA06E3"/>
    <w:rsid w:val="00FA480D"/>
    <w:rsid w:val="00FA75C2"/>
    <w:rsid w:val="00FB6927"/>
    <w:rsid w:val="00FC111E"/>
    <w:rsid w:val="00FD282D"/>
    <w:rsid w:val="00FF2E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BFE"/>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C160B8"/>
  </w:style>
  <w:style w:type="character" w:customStyle="1" w:styleId="gray">
    <w:name w:val="gray"/>
    <w:basedOn w:val="DefaultParagraphFont"/>
    <w:rsid w:val="00C160B8"/>
  </w:style>
  <w:style w:type="paragraph" w:customStyle="1" w:styleId="COEHI">
    <w:name w:val="COE_HI"/>
    <w:basedOn w:val="Normal"/>
    <w:qFormat/>
    <w:rsid w:val="008F60F6"/>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C36A7E"/>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C36A7E"/>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C36A7E"/>
    <w:rPr>
      <w:rFonts w:ascii="Calibri" w:eastAsiaTheme="minorHAnsi" w:hAnsi="Calibri" w:cs="Calibri"/>
      <w:sz w:val="22"/>
      <w:szCs w:val="22"/>
      <w:lang w:eastAsia="fr-FR"/>
    </w:rPr>
  </w:style>
  <w:style w:type="paragraph" w:customStyle="1" w:styleId="xxxxxmsonormal">
    <w:name w:val="x_x_x_x_xmsonormal"/>
    <w:basedOn w:val="Normal"/>
    <w:rsid w:val="005236B9"/>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EB3485"/>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7d2086b4">
    <w:name w:val="s7d2086b4"/>
    <w:basedOn w:val="DefaultParagraphFont"/>
    <w:rsid w:val="00C472AA"/>
  </w:style>
  <w:style w:type="character" w:customStyle="1" w:styleId="sc215c3bc">
    <w:name w:val="sc215c3bc"/>
    <w:basedOn w:val="DefaultParagraphFont"/>
    <w:rsid w:val="001B2474"/>
  </w:style>
  <w:style w:type="paragraph" w:customStyle="1" w:styleId="FootnoteText1">
    <w:name w:val="Footnote Text1"/>
    <w:basedOn w:val="Normal"/>
    <w:next w:val="FootnoteText"/>
    <w:uiPriority w:val="99"/>
    <w:semiHidden/>
    <w:unhideWhenUsed/>
    <w:rsid w:val="000B4456"/>
    <w:rPr>
      <w:rFonts w:ascii="Calibri" w:eastAsiaTheme="minorHAnsi" w:hAnsi="Calibri" w:cs="Calibri"/>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62110">
      <w:bodyDiv w:val="1"/>
      <w:marLeft w:val="0"/>
      <w:marRight w:val="0"/>
      <w:marTop w:val="0"/>
      <w:marBottom w:val="0"/>
      <w:divBdr>
        <w:top w:val="none" w:sz="0" w:space="0" w:color="auto"/>
        <w:left w:val="none" w:sz="0" w:space="0" w:color="auto"/>
        <w:bottom w:val="none" w:sz="0" w:space="0" w:color="auto"/>
        <w:right w:val="none" w:sz="0" w:space="0" w:color="auto"/>
      </w:divBdr>
    </w:div>
    <w:div w:id="158885233">
      <w:bodyDiv w:val="1"/>
      <w:marLeft w:val="0"/>
      <w:marRight w:val="0"/>
      <w:marTop w:val="0"/>
      <w:marBottom w:val="0"/>
      <w:divBdr>
        <w:top w:val="none" w:sz="0" w:space="0" w:color="auto"/>
        <w:left w:val="none" w:sz="0" w:space="0" w:color="auto"/>
        <w:bottom w:val="none" w:sz="0" w:space="0" w:color="auto"/>
        <w:right w:val="none" w:sz="0" w:space="0" w:color="auto"/>
      </w:divBdr>
    </w:div>
    <w:div w:id="194270421">
      <w:bodyDiv w:val="1"/>
      <w:marLeft w:val="0"/>
      <w:marRight w:val="0"/>
      <w:marTop w:val="0"/>
      <w:marBottom w:val="0"/>
      <w:divBdr>
        <w:top w:val="none" w:sz="0" w:space="0" w:color="auto"/>
        <w:left w:val="none" w:sz="0" w:space="0" w:color="auto"/>
        <w:bottom w:val="none" w:sz="0" w:space="0" w:color="auto"/>
        <w:right w:val="none" w:sz="0" w:space="0" w:color="auto"/>
      </w:divBdr>
    </w:div>
    <w:div w:id="254872068">
      <w:bodyDiv w:val="1"/>
      <w:marLeft w:val="0"/>
      <w:marRight w:val="0"/>
      <w:marTop w:val="0"/>
      <w:marBottom w:val="0"/>
      <w:divBdr>
        <w:top w:val="none" w:sz="0" w:space="0" w:color="auto"/>
        <w:left w:val="none" w:sz="0" w:space="0" w:color="auto"/>
        <w:bottom w:val="none" w:sz="0" w:space="0" w:color="auto"/>
        <w:right w:val="none" w:sz="0" w:space="0" w:color="auto"/>
      </w:divBdr>
    </w:div>
    <w:div w:id="264846769">
      <w:bodyDiv w:val="1"/>
      <w:marLeft w:val="0"/>
      <w:marRight w:val="0"/>
      <w:marTop w:val="0"/>
      <w:marBottom w:val="0"/>
      <w:divBdr>
        <w:top w:val="none" w:sz="0" w:space="0" w:color="auto"/>
        <w:left w:val="none" w:sz="0" w:space="0" w:color="auto"/>
        <w:bottom w:val="none" w:sz="0" w:space="0" w:color="auto"/>
        <w:right w:val="none" w:sz="0" w:space="0" w:color="auto"/>
      </w:divBdr>
    </w:div>
    <w:div w:id="329911869">
      <w:bodyDiv w:val="1"/>
      <w:marLeft w:val="0"/>
      <w:marRight w:val="0"/>
      <w:marTop w:val="0"/>
      <w:marBottom w:val="0"/>
      <w:divBdr>
        <w:top w:val="none" w:sz="0" w:space="0" w:color="auto"/>
        <w:left w:val="none" w:sz="0" w:space="0" w:color="auto"/>
        <w:bottom w:val="none" w:sz="0" w:space="0" w:color="auto"/>
        <w:right w:val="none" w:sz="0" w:space="0" w:color="auto"/>
      </w:divBdr>
    </w:div>
    <w:div w:id="365564830">
      <w:bodyDiv w:val="1"/>
      <w:marLeft w:val="0"/>
      <w:marRight w:val="0"/>
      <w:marTop w:val="0"/>
      <w:marBottom w:val="0"/>
      <w:divBdr>
        <w:top w:val="none" w:sz="0" w:space="0" w:color="auto"/>
        <w:left w:val="none" w:sz="0" w:space="0" w:color="auto"/>
        <w:bottom w:val="none" w:sz="0" w:space="0" w:color="auto"/>
        <w:right w:val="none" w:sz="0" w:space="0" w:color="auto"/>
      </w:divBdr>
    </w:div>
    <w:div w:id="610866563">
      <w:bodyDiv w:val="1"/>
      <w:marLeft w:val="0"/>
      <w:marRight w:val="0"/>
      <w:marTop w:val="0"/>
      <w:marBottom w:val="0"/>
      <w:divBdr>
        <w:top w:val="none" w:sz="0" w:space="0" w:color="auto"/>
        <w:left w:val="none" w:sz="0" w:space="0" w:color="auto"/>
        <w:bottom w:val="none" w:sz="0" w:space="0" w:color="auto"/>
        <w:right w:val="none" w:sz="0" w:space="0" w:color="auto"/>
      </w:divBdr>
    </w:div>
    <w:div w:id="613246610">
      <w:bodyDiv w:val="1"/>
      <w:marLeft w:val="0"/>
      <w:marRight w:val="0"/>
      <w:marTop w:val="0"/>
      <w:marBottom w:val="0"/>
      <w:divBdr>
        <w:top w:val="none" w:sz="0" w:space="0" w:color="auto"/>
        <w:left w:val="none" w:sz="0" w:space="0" w:color="auto"/>
        <w:bottom w:val="none" w:sz="0" w:space="0" w:color="auto"/>
        <w:right w:val="none" w:sz="0" w:space="0" w:color="auto"/>
      </w:divBdr>
    </w:div>
    <w:div w:id="754788812">
      <w:bodyDiv w:val="1"/>
      <w:marLeft w:val="0"/>
      <w:marRight w:val="0"/>
      <w:marTop w:val="0"/>
      <w:marBottom w:val="0"/>
      <w:divBdr>
        <w:top w:val="none" w:sz="0" w:space="0" w:color="auto"/>
        <w:left w:val="none" w:sz="0" w:space="0" w:color="auto"/>
        <w:bottom w:val="none" w:sz="0" w:space="0" w:color="auto"/>
        <w:right w:val="none" w:sz="0" w:space="0" w:color="auto"/>
      </w:divBdr>
    </w:div>
    <w:div w:id="877741618">
      <w:bodyDiv w:val="1"/>
      <w:marLeft w:val="0"/>
      <w:marRight w:val="0"/>
      <w:marTop w:val="0"/>
      <w:marBottom w:val="0"/>
      <w:divBdr>
        <w:top w:val="none" w:sz="0" w:space="0" w:color="auto"/>
        <w:left w:val="none" w:sz="0" w:space="0" w:color="auto"/>
        <w:bottom w:val="none" w:sz="0" w:space="0" w:color="auto"/>
        <w:right w:val="none" w:sz="0" w:space="0" w:color="auto"/>
      </w:divBdr>
    </w:div>
    <w:div w:id="912852479">
      <w:bodyDiv w:val="1"/>
      <w:marLeft w:val="0"/>
      <w:marRight w:val="0"/>
      <w:marTop w:val="0"/>
      <w:marBottom w:val="0"/>
      <w:divBdr>
        <w:top w:val="none" w:sz="0" w:space="0" w:color="auto"/>
        <w:left w:val="none" w:sz="0" w:space="0" w:color="auto"/>
        <w:bottom w:val="none" w:sz="0" w:space="0" w:color="auto"/>
        <w:right w:val="none" w:sz="0" w:space="0" w:color="auto"/>
      </w:divBdr>
    </w:div>
    <w:div w:id="1043138203">
      <w:bodyDiv w:val="1"/>
      <w:marLeft w:val="0"/>
      <w:marRight w:val="0"/>
      <w:marTop w:val="0"/>
      <w:marBottom w:val="0"/>
      <w:divBdr>
        <w:top w:val="none" w:sz="0" w:space="0" w:color="auto"/>
        <w:left w:val="none" w:sz="0" w:space="0" w:color="auto"/>
        <w:bottom w:val="none" w:sz="0" w:space="0" w:color="auto"/>
        <w:right w:val="none" w:sz="0" w:space="0" w:color="auto"/>
      </w:divBdr>
    </w:div>
    <w:div w:id="1052266788">
      <w:bodyDiv w:val="1"/>
      <w:marLeft w:val="0"/>
      <w:marRight w:val="0"/>
      <w:marTop w:val="0"/>
      <w:marBottom w:val="0"/>
      <w:divBdr>
        <w:top w:val="none" w:sz="0" w:space="0" w:color="auto"/>
        <w:left w:val="none" w:sz="0" w:space="0" w:color="auto"/>
        <w:bottom w:val="none" w:sz="0" w:space="0" w:color="auto"/>
        <w:right w:val="none" w:sz="0" w:space="0" w:color="auto"/>
      </w:divBdr>
    </w:div>
    <w:div w:id="1095830036">
      <w:bodyDiv w:val="1"/>
      <w:marLeft w:val="0"/>
      <w:marRight w:val="0"/>
      <w:marTop w:val="0"/>
      <w:marBottom w:val="0"/>
      <w:divBdr>
        <w:top w:val="none" w:sz="0" w:space="0" w:color="auto"/>
        <w:left w:val="none" w:sz="0" w:space="0" w:color="auto"/>
        <w:bottom w:val="none" w:sz="0" w:space="0" w:color="auto"/>
        <w:right w:val="none" w:sz="0" w:space="0" w:color="auto"/>
      </w:divBdr>
    </w:div>
    <w:div w:id="1111970025">
      <w:bodyDiv w:val="1"/>
      <w:marLeft w:val="0"/>
      <w:marRight w:val="0"/>
      <w:marTop w:val="0"/>
      <w:marBottom w:val="0"/>
      <w:divBdr>
        <w:top w:val="none" w:sz="0" w:space="0" w:color="auto"/>
        <w:left w:val="none" w:sz="0" w:space="0" w:color="auto"/>
        <w:bottom w:val="none" w:sz="0" w:space="0" w:color="auto"/>
        <w:right w:val="none" w:sz="0" w:space="0" w:color="auto"/>
      </w:divBdr>
    </w:div>
    <w:div w:id="1193349325">
      <w:bodyDiv w:val="1"/>
      <w:marLeft w:val="0"/>
      <w:marRight w:val="0"/>
      <w:marTop w:val="0"/>
      <w:marBottom w:val="0"/>
      <w:divBdr>
        <w:top w:val="none" w:sz="0" w:space="0" w:color="auto"/>
        <w:left w:val="none" w:sz="0" w:space="0" w:color="auto"/>
        <w:bottom w:val="none" w:sz="0" w:space="0" w:color="auto"/>
        <w:right w:val="none" w:sz="0" w:space="0" w:color="auto"/>
      </w:divBdr>
    </w:div>
    <w:div w:id="1244604309">
      <w:bodyDiv w:val="1"/>
      <w:marLeft w:val="0"/>
      <w:marRight w:val="0"/>
      <w:marTop w:val="0"/>
      <w:marBottom w:val="0"/>
      <w:divBdr>
        <w:top w:val="none" w:sz="0" w:space="0" w:color="auto"/>
        <w:left w:val="none" w:sz="0" w:space="0" w:color="auto"/>
        <w:bottom w:val="none" w:sz="0" w:space="0" w:color="auto"/>
        <w:right w:val="none" w:sz="0" w:space="0" w:color="auto"/>
      </w:divBdr>
    </w:div>
    <w:div w:id="1338998761">
      <w:bodyDiv w:val="1"/>
      <w:marLeft w:val="0"/>
      <w:marRight w:val="0"/>
      <w:marTop w:val="0"/>
      <w:marBottom w:val="0"/>
      <w:divBdr>
        <w:top w:val="none" w:sz="0" w:space="0" w:color="auto"/>
        <w:left w:val="none" w:sz="0" w:space="0" w:color="auto"/>
        <w:bottom w:val="none" w:sz="0" w:space="0" w:color="auto"/>
        <w:right w:val="none" w:sz="0" w:space="0" w:color="auto"/>
      </w:divBdr>
    </w:div>
    <w:div w:id="1418557588">
      <w:bodyDiv w:val="1"/>
      <w:marLeft w:val="0"/>
      <w:marRight w:val="0"/>
      <w:marTop w:val="0"/>
      <w:marBottom w:val="0"/>
      <w:divBdr>
        <w:top w:val="none" w:sz="0" w:space="0" w:color="auto"/>
        <w:left w:val="none" w:sz="0" w:space="0" w:color="auto"/>
        <w:bottom w:val="none" w:sz="0" w:space="0" w:color="auto"/>
        <w:right w:val="none" w:sz="0" w:space="0" w:color="auto"/>
      </w:divBdr>
    </w:div>
    <w:div w:id="1437798095">
      <w:bodyDiv w:val="1"/>
      <w:marLeft w:val="0"/>
      <w:marRight w:val="0"/>
      <w:marTop w:val="0"/>
      <w:marBottom w:val="0"/>
      <w:divBdr>
        <w:top w:val="none" w:sz="0" w:space="0" w:color="auto"/>
        <w:left w:val="none" w:sz="0" w:space="0" w:color="auto"/>
        <w:bottom w:val="none" w:sz="0" w:space="0" w:color="auto"/>
        <w:right w:val="none" w:sz="0" w:space="0" w:color="auto"/>
      </w:divBdr>
    </w:div>
    <w:div w:id="1534344037">
      <w:bodyDiv w:val="1"/>
      <w:marLeft w:val="0"/>
      <w:marRight w:val="0"/>
      <w:marTop w:val="0"/>
      <w:marBottom w:val="0"/>
      <w:divBdr>
        <w:top w:val="none" w:sz="0" w:space="0" w:color="auto"/>
        <w:left w:val="none" w:sz="0" w:space="0" w:color="auto"/>
        <w:bottom w:val="none" w:sz="0" w:space="0" w:color="auto"/>
        <w:right w:val="none" w:sz="0" w:space="0" w:color="auto"/>
      </w:divBdr>
    </w:div>
    <w:div w:id="1604805137">
      <w:bodyDiv w:val="1"/>
      <w:marLeft w:val="0"/>
      <w:marRight w:val="0"/>
      <w:marTop w:val="0"/>
      <w:marBottom w:val="0"/>
      <w:divBdr>
        <w:top w:val="none" w:sz="0" w:space="0" w:color="auto"/>
        <w:left w:val="none" w:sz="0" w:space="0" w:color="auto"/>
        <w:bottom w:val="none" w:sz="0" w:space="0" w:color="auto"/>
        <w:right w:val="none" w:sz="0" w:space="0" w:color="auto"/>
      </w:divBdr>
    </w:div>
    <w:div w:id="1640067125">
      <w:bodyDiv w:val="1"/>
      <w:marLeft w:val="0"/>
      <w:marRight w:val="0"/>
      <w:marTop w:val="0"/>
      <w:marBottom w:val="0"/>
      <w:divBdr>
        <w:top w:val="none" w:sz="0" w:space="0" w:color="auto"/>
        <w:left w:val="none" w:sz="0" w:space="0" w:color="auto"/>
        <w:bottom w:val="none" w:sz="0" w:space="0" w:color="auto"/>
        <w:right w:val="none" w:sz="0" w:space="0" w:color="auto"/>
      </w:divBdr>
    </w:div>
    <w:div w:id="1654141559">
      <w:bodyDiv w:val="1"/>
      <w:marLeft w:val="0"/>
      <w:marRight w:val="0"/>
      <w:marTop w:val="0"/>
      <w:marBottom w:val="0"/>
      <w:divBdr>
        <w:top w:val="none" w:sz="0" w:space="0" w:color="auto"/>
        <w:left w:val="none" w:sz="0" w:space="0" w:color="auto"/>
        <w:bottom w:val="none" w:sz="0" w:space="0" w:color="auto"/>
        <w:right w:val="none" w:sz="0" w:space="0" w:color="auto"/>
      </w:divBdr>
    </w:div>
    <w:div w:id="1724714262">
      <w:bodyDiv w:val="1"/>
      <w:marLeft w:val="0"/>
      <w:marRight w:val="0"/>
      <w:marTop w:val="0"/>
      <w:marBottom w:val="0"/>
      <w:divBdr>
        <w:top w:val="none" w:sz="0" w:space="0" w:color="auto"/>
        <w:left w:val="none" w:sz="0" w:space="0" w:color="auto"/>
        <w:bottom w:val="none" w:sz="0" w:space="0" w:color="auto"/>
        <w:right w:val="none" w:sz="0" w:space="0" w:color="auto"/>
      </w:divBdr>
    </w:div>
    <w:div w:id="1759668176">
      <w:bodyDiv w:val="1"/>
      <w:marLeft w:val="0"/>
      <w:marRight w:val="0"/>
      <w:marTop w:val="0"/>
      <w:marBottom w:val="0"/>
      <w:divBdr>
        <w:top w:val="none" w:sz="0" w:space="0" w:color="auto"/>
        <w:left w:val="none" w:sz="0" w:space="0" w:color="auto"/>
        <w:bottom w:val="none" w:sz="0" w:space="0" w:color="auto"/>
        <w:right w:val="none" w:sz="0" w:space="0" w:color="auto"/>
      </w:divBdr>
    </w:div>
    <w:div w:id="1835142755">
      <w:bodyDiv w:val="1"/>
      <w:marLeft w:val="0"/>
      <w:marRight w:val="0"/>
      <w:marTop w:val="0"/>
      <w:marBottom w:val="0"/>
      <w:divBdr>
        <w:top w:val="none" w:sz="0" w:space="0" w:color="auto"/>
        <w:left w:val="none" w:sz="0" w:space="0" w:color="auto"/>
        <w:bottom w:val="none" w:sz="0" w:space="0" w:color="auto"/>
        <w:right w:val="none" w:sz="0" w:space="0" w:color="auto"/>
      </w:divBdr>
    </w:div>
    <w:div w:id="1885167174">
      <w:bodyDiv w:val="1"/>
      <w:marLeft w:val="0"/>
      <w:marRight w:val="0"/>
      <w:marTop w:val="0"/>
      <w:marBottom w:val="0"/>
      <w:divBdr>
        <w:top w:val="none" w:sz="0" w:space="0" w:color="auto"/>
        <w:left w:val="none" w:sz="0" w:space="0" w:color="auto"/>
        <w:bottom w:val="none" w:sz="0" w:space="0" w:color="auto"/>
        <w:right w:val="none" w:sz="0" w:space="0" w:color="auto"/>
      </w:divBdr>
    </w:div>
    <w:div w:id="1929146039">
      <w:bodyDiv w:val="1"/>
      <w:marLeft w:val="0"/>
      <w:marRight w:val="0"/>
      <w:marTop w:val="0"/>
      <w:marBottom w:val="0"/>
      <w:divBdr>
        <w:top w:val="none" w:sz="0" w:space="0" w:color="auto"/>
        <w:left w:val="none" w:sz="0" w:space="0" w:color="auto"/>
        <w:bottom w:val="none" w:sz="0" w:space="0" w:color="auto"/>
        <w:right w:val="none" w:sz="0" w:space="0" w:color="auto"/>
      </w:divBdr>
    </w:div>
    <w:div w:id="2002343494">
      <w:bodyDiv w:val="1"/>
      <w:marLeft w:val="0"/>
      <w:marRight w:val="0"/>
      <w:marTop w:val="0"/>
      <w:marBottom w:val="0"/>
      <w:divBdr>
        <w:top w:val="none" w:sz="0" w:space="0" w:color="auto"/>
        <w:left w:val="none" w:sz="0" w:space="0" w:color="auto"/>
        <w:bottom w:val="none" w:sz="0" w:space="0" w:color="auto"/>
        <w:right w:val="none" w:sz="0" w:space="0" w:color="auto"/>
      </w:divBdr>
    </w:div>
    <w:div w:id="2014869487">
      <w:bodyDiv w:val="1"/>
      <w:marLeft w:val="0"/>
      <w:marRight w:val="0"/>
      <w:marTop w:val="0"/>
      <w:marBottom w:val="0"/>
      <w:divBdr>
        <w:top w:val="none" w:sz="0" w:space="0" w:color="auto"/>
        <w:left w:val="none" w:sz="0" w:space="0" w:color="auto"/>
        <w:bottom w:val="none" w:sz="0" w:space="0" w:color="auto"/>
        <w:right w:val="none" w:sz="0" w:space="0" w:color="auto"/>
      </w:divBdr>
    </w:div>
    <w:div w:id="2118869629">
      <w:bodyDiv w:val="1"/>
      <w:marLeft w:val="0"/>
      <w:marRight w:val="0"/>
      <w:marTop w:val="0"/>
      <w:marBottom w:val="0"/>
      <w:divBdr>
        <w:top w:val="none" w:sz="0" w:space="0" w:color="auto"/>
        <w:left w:val="none" w:sz="0" w:space="0" w:color="auto"/>
        <w:bottom w:val="none" w:sz="0" w:space="0" w:color="auto"/>
        <w:right w:val="none" w:sz="0" w:space="0" w:color="auto"/>
      </w:divBdr>
    </w:div>
    <w:div w:id="212017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udoc.exec.coe.int/eng?i=CM/Del/Dec(2023)1459/H46-11E" TargetMode="External"/><Relationship Id="rId18" Type="http://schemas.openxmlformats.org/officeDocument/2006/relationships/hyperlink" Target="https://hudoc.exec.coe.int/eng" TargetMode="External"/><Relationship Id="rId26" Type="http://schemas.openxmlformats.org/officeDocument/2006/relationships/hyperlink" Target="https://hudoc.exec.coe.int/eng?i=DH-DD(2023)1207E"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hudoc.exec.coe.int/eng?i=CM/Del/Dec(2023)1468/H46-13E" TargetMode="External"/><Relationship Id="rId34" Type="http://schemas.openxmlformats.org/officeDocument/2006/relationships/hyperlink" Target="https://hudoc.echr.coe.int/" TargetMode="External"/><Relationship Id="rId7" Type="http://schemas.openxmlformats.org/officeDocument/2006/relationships/endnotes" Target="endnotes.xml"/><Relationship Id="rId12" Type="http://schemas.openxmlformats.org/officeDocument/2006/relationships/hyperlink" Target="http://hudoc.exec.coe.int/eng?i=004-10859" TargetMode="External"/><Relationship Id="rId17" Type="http://schemas.openxmlformats.org/officeDocument/2006/relationships/hyperlink" Target="https://hudoc.exec.coe.int/eng" TargetMode="External"/><Relationship Id="rId25" Type="http://schemas.openxmlformats.org/officeDocument/2006/relationships/hyperlink" Target="https://hudoc.exec.coe.int/eng?i=DH-DD(2023)208E" TargetMode="External"/><Relationship Id="rId33" Type="http://schemas.openxmlformats.org/officeDocument/2006/relationships/hyperlink" Target="https://hudoc.echr.coe.int/"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hudoc.exec.coe.int/eng" TargetMode="External"/><Relationship Id="rId20" Type="http://schemas.openxmlformats.org/officeDocument/2006/relationships/hyperlink" Target="https://hudoc.exec.coe.int/eng" TargetMode="External"/><Relationship Id="rId29" Type="http://schemas.openxmlformats.org/officeDocument/2006/relationships/hyperlink" Target="https://pace.coe.int/en/files/3319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hungary" TargetMode="External"/><Relationship Id="rId24" Type="http://schemas.openxmlformats.org/officeDocument/2006/relationships/hyperlink" Target="https://search.coe.int/cm/Pages/result_details.aspx?Reference=CM/ResDH(2023)33" TargetMode="External"/><Relationship Id="rId32" Type="http://schemas.openxmlformats.org/officeDocument/2006/relationships/hyperlink" Target="https://rm.coe.int/fifth-evaluation-round-preventing-corruption-and-promoting-integrity-i/1680ab87f5"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hudoc.exec.coe.int/eng?i=DH-DD(2023)633E" TargetMode="External"/><Relationship Id="rId23" Type="http://schemas.openxmlformats.org/officeDocument/2006/relationships/hyperlink" Target="https://hudoc.exec.coe.int/eng?i=004-10745" TargetMode="External"/><Relationship Id="rId28" Type="http://schemas.openxmlformats.org/officeDocument/2006/relationships/hyperlink" Target="https://pace.coe.int/en/files/31369" TargetMode="External"/><Relationship Id="rId36" Type="http://schemas.openxmlformats.org/officeDocument/2006/relationships/hyperlink" Target="https://www.coe.int/en/web/commissioner/-/hungary-the-proposal-for-a-defence-of-national-sovereignty-package-should-be-abandoned" TargetMode="External"/><Relationship Id="rId10" Type="http://schemas.openxmlformats.org/officeDocument/2006/relationships/hyperlink" Target="mailto:christel.schurrer@coe.int" TargetMode="External"/><Relationship Id="rId19" Type="http://schemas.openxmlformats.org/officeDocument/2006/relationships/hyperlink" Target="http://hudoc.exec.coe.int/eng?i=004-10875" TargetMode="External"/><Relationship Id="rId31" Type="http://schemas.openxmlformats.org/officeDocument/2006/relationships/hyperlink" Target="https://rm.coe.int/fourth-evaluation-round-corruption-prevention-in-respect-of-members-of/1680ab87f1" TargetMode="External"/><Relationship Id="rId4" Type="http://schemas.openxmlformats.org/officeDocument/2006/relationships/settings" Target="settings.xml"/><Relationship Id="rId9" Type="http://schemas.openxmlformats.org/officeDocument/2006/relationships/hyperlink" Target="https://rm.coe.int/hungary-2021-data-/1680ab89ba" TargetMode="External"/><Relationship Id="rId14" Type="http://schemas.openxmlformats.org/officeDocument/2006/relationships/hyperlink" Target="https://hudoc.exec.coe.int/eng?i=CM/Del/Dec(2023)1483/H46-17E" TargetMode="External"/><Relationship Id="rId22" Type="http://schemas.openxmlformats.org/officeDocument/2006/relationships/hyperlink" Target="https://hudoc.exec.coe.int/eng?i=DH-DD(2023)526E" TargetMode="External"/><Relationship Id="rId27" Type="http://schemas.openxmlformats.org/officeDocument/2006/relationships/hyperlink" Target="https://pace.coe.int/en/files/30243" TargetMode="External"/><Relationship Id="rId30" Type="http://schemas.openxmlformats.org/officeDocument/2006/relationships/hyperlink" Target="https://pace.coe.int/en/files/31369" TargetMode="External"/><Relationship Id="rId35" Type="http://schemas.openxmlformats.org/officeDocument/2006/relationships/hyperlink" Target="https://hudoc.echr.coe.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9D62E-A20E-481D-86E1-AF4040780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1469</Words>
  <Characters>8085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15</cp:revision>
  <dcterms:created xsi:type="dcterms:W3CDTF">2023-12-26T06:37:00Z</dcterms:created>
  <dcterms:modified xsi:type="dcterms:W3CDTF">2024-01-12T08:59:00Z</dcterms:modified>
</cp:coreProperties>
</file>